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844E7">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1F4AD3">
            <w:rPr>
              <w:rStyle w:val="Style3"/>
            </w:rPr>
            <w:t>April 3, 2017</w:t>
          </w:r>
        </w:sdtContent>
      </w:sdt>
    </w:p>
    <w:p w:rsidR="00F61EE4" w:rsidRDefault="00DE2810" w:rsidP="00D046B2">
      <w:pPr>
        <w:rPr>
          <w:rStyle w:val="Style3"/>
          <w:rFonts w:eastAsiaTheme="majorEastAsia"/>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F4AD3">
            <w:rPr>
              <w:rStyle w:val="Style3"/>
              <w:rFonts w:eastAsiaTheme="majorEastAsia"/>
            </w:rPr>
            <w:t>Amending Ordinance 23001, authorizing permit holder and certifier registration designations relating to the electronic filing of discharge monitoring reports, in compliance with the National Pollutant Discharge Elimination System Electronic Reporting Rule, with the Missouri Department of Natural Resources</w:t>
          </w:r>
        </w:sdtContent>
      </w:sdt>
      <w:r w:rsidR="00505018">
        <w:rPr>
          <w:rStyle w:val="Style3"/>
          <w:rFonts w:eastAsiaTheme="majorEastAsia"/>
        </w:rPr>
        <w:t xml:space="preserve"> </w:t>
      </w:r>
    </w:p>
    <w:p w:rsidR="00C66AAD" w:rsidRDefault="00C66AAD"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4AD3" w:rsidRPr="00791D82" w:rsidRDefault="001F4AD3"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1F4AD3" w:rsidRPr="00791D82" w:rsidRDefault="001F4AD3"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1F4AD3">
          <w:pPr>
            <w:rPr>
              <w:rFonts w:ascii="Century Gothic" w:hAnsi="Century Gothic"/>
            </w:rPr>
          </w:pPr>
          <w:r>
            <w:rPr>
              <w:rFonts w:ascii="Century Gothic" w:hAnsi="Century Gothic"/>
            </w:rPr>
            <w:t xml:space="preserve">The purpose of amending this ordinance is to </w:t>
          </w:r>
          <w:r w:rsidR="009F1B68">
            <w:rPr>
              <w:rFonts w:ascii="Century Gothic" w:hAnsi="Century Gothic"/>
            </w:rPr>
            <w:t xml:space="preserve">expand the </w:t>
          </w:r>
          <w:r>
            <w:rPr>
              <w:rFonts w:ascii="Century Gothic" w:hAnsi="Century Gothic"/>
            </w:rPr>
            <w:t xml:space="preserve">permit holder and certifier designations for the electronic filing of discharge monitoring reports </w:t>
          </w:r>
          <w:r w:rsidR="009F1B68">
            <w:rPr>
              <w:rFonts w:ascii="Century Gothic" w:hAnsi="Century Gothic"/>
            </w:rPr>
            <w:t xml:space="preserve">to allow electronic reporting for </w:t>
          </w:r>
          <w:r>
            <w:rPr>
              <w:rFonts w:ascii="Century Gothic" w:hAnsi="Century Gothic"/>
            </w:rPr>
            <w:t xml:space="preserve">all of the National Pollutant Discharge Monitoring Permits issued to the City by the Missouri Department of Natural Resources.  </w:t>
          </w:r>
          <w:r w:rsidR="00C66AAD">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4AD3" w:rsidRPr="00791D82" w:rsidRDefault="001F4AD3"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1F4AD3" w:rsidRPr="00791D82" w:rsidRDefault="001F4AD3"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1F4AD3" w:rsidRDefault="007A0064" w:rsidP="00CE4274">
          <w:pPr>
            <w:rPr>
              <w:rFonts w:ascii="Century Gothic" w:hAnsi="Century Gothic"/>
            </w:rPr>
          </w:pPr>
          <w:r>
            <w:rPr>
              <w:rFonts w:ascii="Century Gothic" w:hAnsi="Century Gothic"/>
            </w:rPr>
            <w:t>In October 2105, the United States Environmental Protection Agency published the National Pollutant Discharge Elimination System (NPDES) Electronic Reporting (</w:t>
          </w:r>
          <w:proofErr w:type="spellStart"/>
          <w:r>
            <w:rPr>
              <w:rFonts w:ascii="Century Gothic" w:hAnsi="Century Gothic"/>
            </w:rPr>
            <w:t>eReporting</w:t>
          </w:r>
          <w:proofErr w:type="spellEnd"/>
          <w:r>
            <w:rPr>
              <w:rFonts w:ascii="Century Gothic" w:hAnsi="Century Gothic"/>
            </w:rPr>
            <w:t>) Rule [80 F</w:t>
          </w:r>
          <w:r w:rsidR="00A849FE">
            <w:rPr>
              <w:rFonts w:ascii="Century Gothic" w:hAnsi="Century Gothic"/>
            </w:rPr>
            <w:t>R</w:t>
          </w:r>
          <w:r>
            <w:rPr>
              <w:rFonts w:ascii="Century Gothic" w:hAnsi="Century Gothic"/>
            </w:rPr>
            <w:t xml:space="preserve"> 64063].  This rule requires any facility with a NPDES permit that requires monitoring and reporting to begin submitting the discharge monitoring reports (DMRs) electronically.  The Missouri Department of Natural Resources (MDNR) notified the City in October 2016 that MDNR would start requiring the DMRs to be submitted using the Electronic Discharge Mon</w:t>
          </w:r>
          <w:r w:rsidR="001F4AD3">
            <w:rPr>
              <w:rFonts w:ascii="Century Gothic" w:hAnsi="Century Gothic"/>
            </w:rPr>
            <w:t>itoring Report (</w:t>
          </w:r>
          <w:proofErr w:type="spellStart"/>
          <w:r w:rsidR="001F4AD3">
            <w:rPr>
              <w:rFonts w:ascii="Century Gothic" w:hAnsi="Century Gothic"/>
            </w:rPr>
            <w:t>eDMR</w:t>
          </w:r>
          <w:proofErr w:type="spellEnd"/>
          <w:r w:rsidR="001F4AD3">
            <w:rPr>
              <w:rFonts w:ascii="Century Gothic" w:hAnsi="Century Gothic"/>
            </w:rPr>
            <w:t>) system</w:t>
          </w:r>
          <w:r w:rsidR="009F1B68">
            <w:rPr>
              <w:rFonts w:ascii="Century Gothic" w:hAnsi="Century Gothic"/>
            </w:rPr>
            <w:t xml:space="preserve"> for the Columbia Regional Wastewater Treatment Plant.</w:t>
          </w:r>
          <w:r w:rsidR="001F4AD3">
            <w:rPr>
              <w:rFonts w:ascii="Century Gothic" w:hAnsi="Century Gothic"/>
            </w:rPr>
            <w:t xml:space="preserve">  </w:t>
          </w:r>
        </w:p>
        <w:p w:rsidR="001F4AD3" w:rsidRDefault="001F4AD3" w:rsidP="00CE4274">
          <w:pPr>
            <w:rPr>
              <w:rFonts w:ascii="Century Gothic" w:hAnsi="Century Gothic"/>
            </w:rPr>
          </w:pPr>
        </w:p>
        <w:p w:rsidR="00CE4274" w:rsidRDefault="001F4AD3" w:rsidP="00CE4274">
          <w:pPr>
            <w:rPr>
              <w:rFonts w:ascii="Century Gothic" w:hAnsi="Century Gothic"/>
            </w:rPr>
          </w:pPr>
          <w:r>
            <w:rPr>
              <w:rFonts w:ascii="Century Gothic" w:hAnsi="Century Gothic"/>
            </w:rPr>
            <w:t xml:space="preserve">On November 21, 2016, Council authorized the passage of Council Bill B296-16, an ordinance which authorized </w:t>
          </w:r>
          <w:r>
            <w:rPr>
              <w:rStyle w:val="Style3"/>
              <w:rFonts w:eastAsiaTheme="majorEastAsia"/>
            </w:rPr>
            <w:t>permit holder and certifier registration designations relating to the electronic filing of discharge monitoring reports, in compliance with the National Pollutant Discharge Elimination System Electronic Reporting Rule, with the Missouri Department of Natural Resources</w:t>
          </w:r>
          <w:r w:rsidR="00093AF8">
            <w:rPr>
              <w:rStyle w:val="Style3"/>
              <w:rFonts w:eastAsiaTheme="majorEastAsia"/>
            </w:rPr>
            <w:t xml:space="preserve">.  This ordinance authorized electronic reporting for only the </w:t>
          </w:r>
          <w:r w:rsidR="007A0064">
            <w:rPr>
              <w:rFonts w:ascii="Century Gothic" w:hAnsi="Century Gothic"/>
            </w:rPr>
            <w:t>Columbia Regional Wastewater Treatment Plant</w:t>
          </w:r>
          <w:r w:rsidR="00093AF8">
            <w:rPr>
              <w:rFonts w:ascii="Century Gothic" w:hAnsi="Century Gothic"/>
            </w:rPr>
            <w:t xml:space="preserve">.  </w:t>
          </w:r>
          <w:r w:rsidR="009F1B68">
            <w:rPr>
              <w:rFonts w:ascii="Century Gothic" w:hAnsi="Century Gothic"/>
            </w:rPr>
            <w:t>Since the approval of this ordinance, the City has been notified during permit renewal processes that electronic reporting will be required for the</w:t>
          </w:r>
          <w:r w:rsidR="00093AF8">
            <w:rPr>
              <w:rFonts w:ascii="Century Gothic" w:hAnsi="Century Gothic"/>
            </w:rPr>
            <w:t xml:space="preserve"> multiple NPDES permits</w:t>
          </w:r>
          <w:r w:rsidR="009F1B68">
            <w:rPr>
              <w:rFonts w:ascii="Century Gothic" w:hAnsi="Century Gothic"/>
            </w:rPr>
            <w:t xml:space="preserve"> issued to the City.  </w:t>
          </w:r>
          <w:r w:rsidR="00093AF8">
            <w:rPr>
              <w:rFonts w:ascii="Century Gothic" w:hAnsi="Century Gothic"/>
            </w:rPr>
            <w:t>This amendment to the ordinance will</w:t>
          </w:r>
          <w:r w:rsidR="00385B46">
            <w:rPr>
              <w:rFonts w:ascii="Century Gothic" w:hAnsi="Century Gothic"/>
            </w:rPr>
            <w:t xml:space="preserve"> expand the permit holder and certifier designations to allow for electronic reporting for all NPDES permits issued to the City.  The ordinance </w:t>
          </w:r>
          <w:r w:rsidR="00093AF8">
            <w:rPr>
              <w:rFonts w:ascii="Century Gothic" w:hAnsi="Century Gothic"/>
            </w:rPr>
            <w:t>designate</w:t>
          </w:r>
          <w:r w:rsidR="00385B46">
            <w:rPr>
              <w:rFonts w:ascii="Century Gothic" w:hAnsi="Century Gothic"/>
            </w:rPr>
            <w:t>s</w:t>
          </w:r>
          <w:r w:rsidR="00093AF8">
            <w:rPr>
              <w:rFonts w:ascii="Century Gothic" w:hAnsi="Century Gothic"/>
            </w:rPr>
            <w:t xml:space="preserve"> the City Manager and appropriate Department Directors as the permit holder</w:t>
          </w:r>
          <w:r w:rsidR="00385B46">
            <w:rPr>
              <w:rFonts w:ascii="Century Gothic" w:hAnsi="Century Gothic"/>
            </w:rPr>
            <w:t xml:space="preserve"> and certifier</w:t>
          </w:r>
          <w:r w:rsidR="00093AF8">
            <w:rPr>
              <w:rFonts w:ascii="Century Gothic" w:hAnsi="Century Gothic"/>
            </w:rPr>
            <w:t xml:space="preserve"> for execution of the application agreements</w:t>
          </w:r>
          <w:r w:rsidR="00385B46">
            <w:rPr>
              <w:rFonts w:ascii="Century Gothic" w:hAnsi="Century Gothic"/>
            </w:rPr>
            <w:t xml:space="preserve"> required to </w:t>
          </w:r>
          <w:r w:rsidR="00093AF8">
            <w:rPr>
              <w:rFonts w:ascii="Century Gothic" w:hAnsi="Century Gothic"/>
            </w:rPr>
            <w:t xml:space="preserve">with the </w:t>
          </w:r>
          <w:proofErr w:type="spellStart"/>
          <w:r w:rsidR="00093AF8">
            <w:rPr>
              <w:rFonts w:ascii="Century Gothic" w:hAnsi="Century Gothic"/>
            </w:rPr>
            <w:t>eDMR</w:t>
          </w:r>
          <w:proofErr w:type="spellEnd"/>
          <w:r w:rsidR="00093AF8">
            <w:rPr>
              <w:rFonts w:ascii="Century Gothic" w:hAnsi="Century Gothic"/>
            </w:rPr>
            <w:t xml:space="preserve"> requirements.  A sample of the application agreement is attached.  </w:t>
          </w:r>
          <w:r w:rsidR="007A0064">
            <w:rPr>
              <w:rFonts w:ascii="Century Gothic" w:hAnsi="Century Gothic"/>
            </w:rPr>
            <w:t xml:space="preserve">  </w:t>
          </w:r>
        </w:p>
      </w:sdtContent>
    </w:sdt>
    <w:p w:rsidR="002773F7" w:rsidRDefault="00D44CD9" w:rsidP="00AC280D">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4AD3" w:rsidRPr="00791D82" w:rsidRDefault="001F4AD3"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1F4AD3" w:rsidRPr="00791D82" w:rsidRDefault="001F4AD3"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0A694A">
            <w:rPr>
              <w:rStyle w:val="Style3"/>
            </w:rPr>
            <w:t>No fiscal impact anticipated</w:t>
          </w:r>
        </w:sdtContent>
      </w:sdt>
    </w:p>
    <w:p w:rsidR="00C379A1"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0A694A">
            <w:rPr>
              <w:rStyle w:val="Style3"/>
            </w:rPr>
            <w:t>No fiscal impact anticipated</w:t>
          </w:r>
        </w:sdtContent>
      </w:sdt>
    </w:p>
    <w:p w:rsidR="00AC280D" w:rsidRDefault="00AC280D">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4AD3" w:rsidRPr="00791D82" w:rsidRDefault="001F4AD3"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1F4AD3" w:rsidRPr="00791D82" w:rsidRDefault="001F4AD3"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B2C9A">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A694A">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0A694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0A694A">
            <w:rPr>
              <w:rStyle w:val="Style3"/>
            </w:rPr>
            <w:t>Not Applicable</w:t>
          </w:r>
        </w:sdtContent>
      </w:sdt>
    </w:p>
    <w:p w:rsidR="004F48BF" w:rsidRDefault="004F48BF"/>
    <w:p w:rsidR="000E3DAB" w:rsidRDefault="006B2C9A">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A694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A694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A694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A694A">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A694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A694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4AD3" w:rsidRPr="00791D82" w:rsidRDefault="001F4AD3"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1F4AD3" w:rsidRPr="00791D82" w:rsidRDefault="001F4AD3"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093AF8" w:rsidP="000A694A">
                <w:pPr>
                  <w:rPr>
                    <w:rFonts w:ascii="Century Gothic" w:hAnsi="Century Gothic"/>
                  </w:rPr>
                </w:pPr>
                <w:r>
                  <w:rPr>
                    <w:rFonts w:ascii="Century Gothic" w:hAnsi="Century Gothic"/>
                  </w:rPr>
                  <w:t>11/21/2016</w:t>
                </w:r>
              </w:p>
            </w:tc>
          </w:sdtContent>
        </w:sdt>
        <w:tc>
          <w:tcPr>
            <w:tcW w:w="7830" w:type="dxa"/>
            <w:shd w:val="clear" w:color="auto" w:fill="auto"/>
          </w:tcPr>
          <w:p w:rsidR="004C26F6" w:rsidRDefault="006B2C9A" w:rsidP="00093AF8">
            <w:pPr>
              <w:rPr>
                <w:rFonts w:ascii="Century Gothic" w:hAnsi="Century Gothic"/>
              </w:rPr>
            </w:pPr>
            <w:sdt>
              <w:sdtPr>
                <w:rPr>
                  <w:rFonts w:ascii="Century Gothic" w:hAnsi="Century Gothic"/>
                </w:rPr>
                <w:id w:val="1450981277"/>
                <w:placeholder>
                  <w:docPart w:val="F1D4D5A078944E1887EC6769811D8125"/>
                </w:placeholder>
              </w:sdtPr>
              <w:sdtEndPr/>
              <w:sdtContent>
                <w:r w:rsidR="00093AF8">
                  <w:rPr>
                    <w:rFonts w:ascii="Century Gothic" w:hAnsi="Century Gothic"/>
                  </w:rPr>
                  <w:t xml:space="preserve">Ordinance 23001:  </w:t>
                </w:r>
              </w:sdtContent>
            </w:sdt>
            <w:r w:rsidR="00093AF8">
              <w:rPr>
                <w:rStyle w:val="Style3"/>
                <w:rFonts w:eastAsiaTheme="majorEastAsia"/>
              </w:rPr>
              <w:t>Authorizing permit holder and certifier registration designations relating to the electronic filing of discharge monitoring reports, in compliance with the National Pollutant Discharge Elimination System Electronic Reporting Rule, with the Missouri Department of Natural Resources</w:t>
            </w:r>
          </w:p>
        </w:tc>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4AD3" w:rsidRPr="00791D82" w:rsidRDefault="001F4AD3"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1F4AD3" w:rsidRPr="00791D82" w:rsidRDefault="001F4AD3"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AC280D" w:rsidP="00C379A1">
          <w:pPr>
            <w:tabs>
              <w:tab w:val="left" w:pos="4530"/>
            </w:tabs>
            <w:rPr>
              <w:rFonts w:ascii="Century Gothic" w:hAnsi="Century Gothic"/>
            </w:rPr>
          </w:pPr>
          <w:r>
            <w:rPr>
              <w:rFonts w:ascii="Century Gothic" w:hAnsi="Century Gothic"/>
            </w:rPr>
            <w:t xml:space="preserve">Passage </w:t>
          </w:r>
          <w:bookmarkStart w:id="0" w:name="_GoBack"/>
          <w:bookmarkEnd w:id="0"/>
          <w:r w:rsidR="000A694A">
            <w:rPr>
              <w:rFonts w:ascii="Century Gothic" w:hAnsi="Century Gothic"/>
            </w:rPr>
            <w:t>of the ordinance.</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9A" w:rsidRDefault="006B2C9A" w:rsidP="004A4C2D">
      <w:r>
        <w:separator/>
      </w:r>
    </w:p>
  </w:endnote>
  <w:endnote w:type="continuationSeparator" w:id="0">
    <w:p w:rsidR="006B2C9A" w:rsidRDefault="006B2C9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9A" w:rsidRDefault="006B2C9A" w:rsidP="004A4C2D">
      <w:r>
        <w:separator/>
      </w:r>
    </w:p>
  </w:footnote>
  <w:footnote w:type="continuationSeparator" w:id="0">
    <w:p w:rsidR="006B2C9A" w:rsidRDefault="006B2C9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D3" w:rsidRPr="00FA2BBC" w:rsidRDefault="001F4AD3"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1F4AD3" w:rsidRPr="00FA2BBC" w:rsidRDefault="001F4AD3" w:rsidP="002773F7">
    <w:pPr>
      <w:pStyle w:val="Header"/>
      <w:ind w:left="1080"/>
      <w:jc w:val="right"/>
      <w:rPr>
        <w:rFonts w:ascii="Century Gothic" w:hAnsi="Century Gothic"/>
      </w:rPr>
    </w:pPr>
    <w:r w:rsidRPr="00FA2BBC">
      <w:rPr>
        <w:rFonts w:ascii="Century Gothic" w:hAnsi="Century Gothic"/>
      </w:rPr>
      <w:t>701 East Broadway, Columbia, Missouri 65201</w:t>
    </w:r>
  </w:p>
  <w:p w:rsidR="001F4AD3" w:rsidRDefault="001F4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210E8"/>
    <w:rsid w:val="000476B6"/>
    <w:rsid w:val="000564F4"/>
    <w:rsid w:val="00065647"/>
    <w:rsid w:val="00081116"/>
    <w:rsid w:val="00092AD1"/>
    <w:rsid w:val="00093AF8"/>
    <w:rsid w:val="000A694A"/>
    <w:rsid w:val="000E2AA6"/>
    <w:rsid w:val="000E3DAB"/>
    <w:rsid w:val="0011191B"/>
    <w:rsid w:val="00160464"/>
    <w:rsid w:val="001E142A"/>
    <w:rsid w:val="001F1288"/>
    <w:rsid w:val="001F4AD3"/>
    <w:rsid w:val="002773F7"/>
    <w:rsid w:val="002C289E"/>
    <w:rsid w:val="002D380E"/>
    <w:rsid w:val="002F3061"/>
    <w:rsid w:val="00340994"/>
    <w:rsid w:val="00344C59"/>
    <w:rsid w:val="00381A9D"/>
    <w:rsid w:val="00385B46"/>
    <w:rsid w:val="003C57DC"/>
    <w:rsid w:val="003D278A"/>
    <w:rsid w:val="0041404F"/>
    <w:rsid w:val="00480AED"/>
    <w:rsid w:val="0048496D"/>
    <w:rsid w:val="004A4C2D"/>
    <w:rsid w:val="004A51CB"/>
    <w:rsid w:val="004C2360"/>
    <w:rsid w:val="004C26F6"/>
    <w:rsid w:val="004C2DE4"/>
    <w:rsid w:val="004F48BF"/>
    <w:rsid w:val="00505018"/>
    <w:rsid w:val="00572FBB"/>
    <w:rsid w:val="005831E4"/>
    <w:rsid w:val="00591DC5"/>
    <w:rsid w:val="005B3871"/>
    <w:rsid w:val="005F6088"/>
    <w:rsid w:val="00625FCB"/>
    <w:rsid w:val="00646D99"/>
    <w:rsid w:val="006B2C9A"/>
    <w:rsid w:val="006B6685"/>
    <w:rsid w:val="006D6E9E"/>
    <w:rsid w:val="006F185A"/>
    <w:rsid w:val="00791D82"/>
    <w:rsid w:val="007A0064"/>
    <w:rsid w:val="007A0C96"/>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F1B68"/>
    <w:rsid w:val="00A37B59"/>
    <w:rsid w:val="00A67E22"/>
    <w:rsid w:val="00A849FE"/>
    <w:rsid w:val="00A85777"/>
    <w:rsid w:val="00AC280D"/>
    <w:rsid w:val="00B158FC"/>
    <w:rsid w:val="00B62049"/>
    <w:rsid w:val="00B972D7"/>
    <w:rsid w:val="00BA374B"/>
    <w:rsid w:val="00BD7739"/>
    <w:rsid w:val="00BE10D5"/>
    <w:rsid w:val="00BE5FE4"/>
    <w:rsid w:val="00C26D7E"/>
    <w:rsid w:val="00C32ED2"/>
    <w:rsid w:val="00C34BE7"/>
    <w:rsid w:val="00C379A1"/>
    <w:rsid w:val="00C66AAD"/>
    <w:rsid w:val="00C93741"/>
    <w:rsid w:val="00CE4274"/>
    <w:rsid w:val="00D046B2"/>
    <w:rsid w:val="00D102C6"/>
    <w:rsid w:val="00D44CD9"/>
    <w:rsid w:val="00D844E7"/>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620D51-0144-46AD-9D84-B78AF18B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35B8F"/>
    <w:rsid w:val="003C79DA"/>
    <w:rsid w:val="00412C43"/>
    <w:rsid w:val="0043257E"/>
    <w:rsid w:val="004C0099"/>
    <w:rsid w:val="004F35AE"/>
    <w:rsid w:val="005F57FE"/>
    <w:rsid w:val="006259E9"/>
    <w:rsid w:val="006702CB"/>
    <w:rsid w:val="006C0A97"/>
    <w:rsid w:val="006E696C"/>
    <w:rsid w:val="00773276"/>
    <w:rsid w:val="00801A9C"/>
    <w:rsid w:val="008F5C85"/>
    <w:rsid w:val="009B3AA1"/>
    <w:rsid w:val="00B070C6"/>
    <w:rsid w:val="00B54DAB"/>
    <w:rsid w:val="00BB21DC"/>
    <w:rsid w:val="00C22202"/>
    <w:rsid w:val="00C372BC"/>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8307-AB63-45F5-B01B-1D2F664F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2017-03-21T13:17:00Z</cp:lastPrinted>
  <dcterms:created xsi:type="dcterms:W3CDTF">2017-03-21T13:17:00Z</dcterms:created>
  <dcterms:modified xsi:type="dcterms:W3CDTF">2017-03-23T14:46:00Z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