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472857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4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35B72">
            <w:rPr>
              <w:rStyle w:val="Style3"/>
            </w:rPr>
            <w:t>April 17,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r w:rsidR="00535B72">
        <w:rPr>
          <w:rStyle w:val="Style3"/>
          <w:rFonts w:eastAsiaTheme="majorEastAsia"/>
        </w:rPr>
        <w:t>Public Hearing to Consider the 2017 Renewable Energy Report</w:t>
      </w:r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1B0632" w:rsidRPr="001B0632" w:rsidRDefault="001B0632" w:rsidP="001B0632">
          <w:pPr>
            <w:autoSpaceDE w:val="0"/>
            <w:autoSpaceDN w:val="0"/>
            <w:adjustRightInd w:val="0"/>
            <w:jc w:val="both"/>
            <w:rPr>
              <w:rFonts w:ascii="Century Gothic" w:hAnsi="Century Gothic" w:cs="Arial"/>
            </w:rPr>
          </w:pPr>
          <w:r w:rsidRPr="001B0632">
            <w:rPr>
              <w:rFonts w:ascii="Century Gothic" w:hAnsi="Century Gothic"/>
            </w:rPr>
            <w:t xml:space="preserve">Staff has prepared for Council consideration a resolution setting a public hearing for </w:t>
          </w:r>
          <w:r w:rsidR="00EC03ED">
            <w:rPr>
              <w:rFonts w:ascii="Century Gothic" w:hAnsi="Century Gothic"/>
            </w:rPr>
            <w:t>April 17</w:t>
          </w:r>
          <w:r w:rsidR="007D1B9F" w:rsidRPr="001B0632">
            <w:rPr>
              <w:rFonts w:ascii="Century Gothic" w:hAnsi="Century Gothic"/>
            </w:rPr>
            <w:t xml:space="preserve"> </w:t>
          </w:r>
          <w:r w:rsidRPr="001B0632">
            <w:rPr>
              <w:rFonts w:ascii="Century Gothic" w:hAnsi="Century Gothic" w:cs="Arial"/>
            </w:rPr>
            <w:t>concerning consideration and approval of the 201</w:t>
          </w:r>
          <w:r w:rsidR="00EC03ED">
            <w:rPr>
              <w:rFonts w:ascii="Century Gothic" w:hAnsi="Century Gothic" w:cs="Arial"/>
            </w:rPr>
            <w:t>6</w:t>
          </w:r>
          <w:r w:rsidRPr="001B0632">
            <w:rPr>
              <w:rFonts w:ascii="Century Gothic" w:hAnsi="Century Gothic" w:cs="Arial"/>
            </w:rPr>
            <w:t xml:space="preserve"> Renewable Energy Report. The renewable energy mandate passed by voters in 2004 and modified by council in 2013 requires that each year prior to February 1, Columbia Water </w:t>
          </w:r>
          <w:r>
            <w:rPr>
              <w:rFonts w:ascii="Century Gothic" w:hAnsi="Century Gothic" w:cs="Arial"/>
            </w:rPr>
            <w:t>&amp;</w:t>
          </w:r>
          <w:r w:rsidRPr="001B0632">
            <w:rPr>
              <w:rFonts w:ascii="Century Gothic" w:hAnsi="Century Gothic" w:cs="Arial"/>
            </w:rPr>
            <w:t xml:space="preserve"> Light publicly release a report outlining compliance with the ordinance. This year’s report provides details on the amount of renewable energy provided, descriptions of projects and the forecast for the 201</w:t>
          </w:r>
          <w:r w:rsidR="004F50FA">
            <w:rPr>
              <w:rFonts w:ascii="Century Gothic" w:hAnsi="Century Gothic" w:cs="Arial"/>
            </w:rPr>
            <w:t>7</w:t>
          </w:r>
          <w:r w:rsidRPr="001B0632">
            <w:rPr>
              <w:rFonts w:ascii="Century Gothic" w:hAnsi="Century Gothic" w:cs="Arial"/>
            </w:rPr>
            <w:t xml:space="preserve"> portfolio. Staff reports that </w:t>
          </w:r>
          <w:r>
            <w:rPr>
              <w:rFonts w:ascii="Century Gothic" w:hAnsi="Century Gothic" w:cs="Arial"/>
            </w:rPr>
            <w:t>6.</w:t>
          </w:r>
          <w:r w:rsidR="004F50FA">
            <w:rPr>
              <w:rFonts w:ascii="Century Gothic" w:hAnsi="Century Gothic" w:cs="Arial"/>
            </w:rPr>
            <w:t>6</w:t>
          </w:r>
          <w:r>
            <w:rPr>
              <w:rFonts w:ascii="Century Gothic" w:hAnsi="Century Gothic" w:cs="Arial"/>
            </w:rPr>
            <w:t>8</w:t>
          </w:r>
          <w:r w:rsidRPr="001B0632">
            <w:rPr>
              <w:rFonts w:ascii="Century Gothic" w:hAnsi="Century Gothic" w:cs="Arial"/>
            </w:rPr>
            <w:t>% of the energy for electric retail sales was provided by the 201</w:t>
          </w:r>
          <w:r w:rsidR="004F50FA">
            <w:rPr>
              <w:rFonts w:ascii="Century Gothic" w:hAnsi="Century Gothic" w:cs="Arial"/>
            </w:rPr>
            <w:t>6</w:t>
          </w:r>
          <w:r w:rsidRPr="001B0632">
            <w:rPr>
              <w:rFonts w:ascii="Century Gothic" w:hAnsi="Century Gothic" w:cs="Arial"/>
            </w:rPr>
            <w:t xml:space="preserve"> renewable portfolio.</w:t>
          </w:r>
        </w:p>
        <w:p w:rsidR="001B0632" w:rsidRPr="001B0632" w:rsidRDefault="001B0632" w:rsidP="001B0632">
          <w:pPr>
            <w:autoSpaceDE w:val="0"/>
            <w:autoSpaceDN w:val="0"/>
            <w:adjustRightInd w:val="0"/>
            <w:jc w:val="both"/>
            <w:rPr>
              <w:rFonts w:ascii="Century Gothic" w:hAnsi="Century Gothic" w:cs="Arial"/>
            </w:rPr>
          </w:pPr>
          <w:r w:rsidRPr="001B0632">
            <w:rPr>
              <w:rFonts w:ascii="Century Gothic" w:hAnsi="Century Gothic" w:cs="Arial"/>
            </w:rPr>
            <w:t xml:space="preserve"> </w:t>
          </w:r>
        </w:p>
        <w:p w:rsidR="00EB1A02" w:rsidRPr="001B0632" w:rsidRDefault="001B0632" w:rsidP="001B0632">
          <w:pPr>
            <w:rPr>
              <w:rFonts w:ascii="Century Gothic" w:hAnsi="Century Gothic"/>
            </w:rPr>
          </w:pPr>
          <w:r w:rsidRPr="001B0632">
            <w:rPr>
              <w:rFonts w:ascii="Century Gothic" w:hAnsi="Century Gothic" w:cs="Arial"/>
            </w:rPr>
            <w:t>The 201</w:t>
          </w:r>
          <w:r w:rsidR="004F50FA">
            <w:rPr>
              <w:rFonts w:ascii="Century Gothic" w:hAnsi="Century Gothic" w:cs="Arial"/>
            </w:rPr>
            <w:t>7</w:t>
          </w:r>
          <w:r w:rsidRPr="001B0632">
            <w:rPr>
              <w:rFonts w:ascii="Century Gothic" w:hAnsi="Century Gothic" w:cs="Arial"/>
            </w:rPr>
            <w:t xml:space="preserve"> Renewable Energy Report was publicly released </w:t>
          </w:r>
          <w:r w:rsidR="00472857">
            <w:rPr>
              <w:rFonts w:ascii="Century Gothic" w:hAnsi="Century Gothic" w:cs="Arial"/>
            </w:rPr>
            <w:t>by</w:t>
          </w:r>
          <w:r w:rsidRPr="001B0632">
            <w:rPr>
              <w:rFonts w:ascii="Century Gothic" w:hAnsi="Century Gothic" w:cs="Arial"/>
            </w:rPr>
            <w:t xml:space="preserve"> January 30, 201</w:t>
          </w:r>
          <w:r w:rsidR="00472857">
            <w:rPr>
              <w:rFonts w:ascii="Century Gothic" w:hAnsi="Century Gothic" w:cs="Arial"/>
            </w:rPr>
            <w:t>7</w:t>
          </w:r>
          <w:r w:rsidRPr="001B0632">
            <w:rPr>
              <w:rFonts w:ascii="Century Gothic" w:hAnsi="Century Gothic" w:cs="Arial"/>
            </w:rPr>
            <w:t>. It has been reviewed by the Water &amp; Light Advisory Board and the Energy &amp; Environment Commission. Ordinance requires a public hearing and a vote to approve the report.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  <w:color w:val="000000"/>
          <w:szCs w:val="20"/>
        </w:rPr>
        <w:id w:val="1576005668"/>
        <w:placeholder>
          <w:docPart w:val="4AE7662C54754E80A5F963D232AD8985"/>
        </w:placeholder>
      </w:sdtPr>
      <w:sdtEndPr/>
      <w:sdtContent>
        <w:p w:rsidR="001B0632" w:rsidRPr="001B0632" w:rsidRDefault="001B0632" w:rsidP="001B0632">
          <w:pPr>
            <w:autoSpaceDE w:val="0"/>
            <w:autoSpaceDN w:val="0"/>
            <w:adjustRightInd w:val="0"/>
            <w:spacing w:after="200"/>
            <w:jc w:val="both"/>
            <w:rPr>
              <w:rFonts w:ascii="Century Gothic" w:hAnsi="Century Gothic" w:cs="Arial"/>
            </w:rPr>
          </w:pPr>
          <w:r w:rsidRPr="001B0632">
            <w:rPr>
              <w:rFonts w:ascii="Century Gothic" w:hAnsi="Century Gothic" w:cs="Arial"/>
            </w:rPr>
            <w:t>Columbia Water &amp; Light has been pursuing renewable energy sources since the mandate was passed by voter approval in 2004. The following is a list of the renewable energy quantities for 201</w:t>
          </w:r>
          <w:r w:rsidR="004F50FA">
            <w:rPr>
              <w:rFonts w:ascii="Century Gothic" w:hAnsi="Century Gothic" w:cs="Arial"/>
            </w:rPr>
            <w:t>6</w:t>
          </w:r>
          <w:r w:rsidRPr="001B0632">
            <w:rPr>
              <w:rFonts w:ascii="Century Gothic" w:hAnsi="Century Gothic" w:cs="Arial"/>
            </w:rPr>
            <w:t>:</w:t>
          </w:r>
        </w:p>
        <w:p w:rsidR="001B0632" w:rsidRPr="001B0632" w:rsidRDefault="001B0632" w:rsidP="001B0632">
          <w:pPr>
            <w:autoSpaceDE w:val="0"/>
            <w:autoSpaceDN w:val="0"/>
            <w:adjustRightInd w:val="0"/>
            <w:spacing w:after="200"/>
            <w:ind w:left="720" w:hanging="360"/>
            <w:jc w:val="both"/>
            <w:rPr>
              <w:rFonts w:ascii="Century Gothic" w:hAnsi="Century Gothic" w:cs="Arial"/>
            </w:rPr>
          </w:pPr>
          <w:r w:rsidRPr="001B0632">
            <w:rPr>
              <w:rFonts w:ascii="Century Gothic" w:hAnsi="Century Gothic" w:cs="Arial"/>
            </w:rPr>
            <w:t>·</w:t>
          </w:r>
          <w:r w:rsidRPr="001B0632">
            <w:rPr>
              <w:rFonts w:ascii="Century Gothic" w:hAnsi="Century Gothic" w:cs="Arial"/>
            </w:rPr>
            <w:tab/>
            <w:t>Bluegrass Ridge Wind - 1.</w:t>
          </w:r>
          <w:r>
            <w:rPr>
              <w:rFonts w:ascii="Century Gothic" w:hAnsi="Century Gothic" w:cs="Arial"/>
            </w:rPr>
            <w:t>0</w:t>
          </w:r>
          <w:r w:rsidR="004F50FA">
            <w:rPr>
              <w:rFonts w:ascii="Century Gothic" w:hAnsi="Century Gothic" w:cs="Arial"/>
            </w:rPr>
            <w:t>5</w:t>
          </w:r>
          <w:r w:rsidRPr="001B0632">
            <w:rPr>
              <w:rFonts w:ascii="Century Gothic" w:hAnsi="Century Gothic" w:cs="Arial"/>
            </w:rPr>
            <w:t>%</w:t>
          </w:r>
        </w:p>
        <w:p w:rsidR="001B0632" w:rsidRPr="001B0632" w:rsidRDefault="001B0632" w:rsidP="001B0632">
          <w:pPr>
            <w:autoSpaceDE w:val="0"/>
            <w:autoSpaceDN w:val="0"/>
            <w:adjustRightInd w:val="0"/>
            <w:spacing w:after="200"/>
            <w:ind w:left="720" w:hanging="360"/>
            <w:jc w:val="both"/>
            <w:rPr>
              <w:rFonts w:ascii="Century Gothic" w:hAnsi="Century Gothic" w:cs="Arial"/>
            </w:rPr>
          </w:pPr>
          <w:r w:rsidRPr="001B0632">
            <w:rPr>
              <w:rFonts w:ascii="Century Gothic" w:hAnsi="Century Gothic" w:cs="Arial"/>
            </w:rPr>
            <w:t>·</w:t>
          </w:r>
          <w:r w:rsidRPr="001B0632">
            <w:rPr>
              <w:rFonts w:ascii="Century Gothic" w:hAnsi="Century Gothic" w:cs="Arial"/>
            </w:rPr>
            <w:tab/>
            <w:t>Columbia Landfill Gas - 1.</w:t>
          </w:r>
          <w:r w:rsidR="004F50FA">
            <w:rPr>
              <w:rFonts w:ascii="Century Gothic" w:hAnsi="Century Gothic" w:cs="Arial"/>
            </w:rPr>
            <w:t>17</w:t>
          </w:r>
          <w:r w:rsidRPr="001B0632">
            <w:rPr>
              <w:rFonts w:ascii="Century Gothic" w:hAnsi="Century Gothic" w:cs="Arial"/>
            </w:rPr>
            <w:t>%</w:t>
          </w:r>
        </w:p>
        <w:p w:rsidR="001B0632" w:rsidRPr="001B0632" w:rsidRDefault="001B0632" w:rsidP="001B0632">
          <w:pPr>
            <w:autoSpaceDE w:val="0"/>
            <w:autoSpaceDN w:val="0"/>
            <w:adjustRightInd w:val="0"/>
            <w:spacing w:after="200"/>
            <w:ind w:left="720" w:hanging="360"/>
            <w:jc w:val="both"/>
            <w:rPr>
              <w:rFonts w:ascii="Century Gothic" w:hAnsi="Century Gothic" w:cs="Arial"/>
            </w:rPr>
          </w:pPr>
          <w:r w:rsidRPr="001B0632">
            <w:rPr>
              <w:rFonts w:ascii="Century Gothic" w:hAnsi="Century Gothic" w:cs="Arial"/>
            </w:rPr>
            <w:t>·</w:t>
          </w:r>
          <w:r w:rsidRPr="001B0632">
            <w:rPr>
              <w:rFonts w:ascii="Century Gothic" w:hAnsi="Century Gothic" w:cs="Arial"/>
            </w:rPr>
            <w:tab/>
            <w:t xml:space="preserve">Jefferson City Landfill Gas </w:t>
          </w:r>
          <w:r>
            <w:rPr>
              <w:rFonts w:ascii="Century Gothic" w:hAnsi="Century Gothic" w:cs="Arial"/>
            </w:rPr>
            <w:t>–</w:t>
          </w:r>
          <w:r w:rsidRPr="001B0632">
            <w:rPr>
              <w:rFonts w:ascii="Century Gothic" w:hAnsi="Century Gothic" w:cs="Arial"/>
            </w:rPr>
            <w:t xml:space="preserve"> </w:t>
          </w:r>
          <w:r w:rsidR="004F50FA">
            <w:rPr>
              <w:rFonts w:ascii="Century Gothic" w:hAnsi="Century Gothic" w:cs="Arial"/>
            </w:rPr>
            <w:t>1.95</w:t>
          </w:r>
          <w:r w:rsidRPr="001B0632">
            <w:rPr>
              <w:rFonts w:ascii="Century Gothic" w:hAnsi="Century Gothic" w:cs="Arial"/>
            </w:rPr>
            <w:t>%</w:t>
          </w:r>
        </w:p>
        <w:p w:rsidR="001B0632" w:rsidRPr="001B0632" w:rsidRDefault="001B0632" w:rsidP="001B0632">
          <w:pPr>
            <w:autoSpaceDE w:val="0"/>
            <w:autoSpaceDN w:val="0"/>
            <w:adjustRightInd w:val="0"/>
            <w:spacing w:after="200"/>
            <w:ind w:left="720" w:hanging="360"/>
            <w:jc w:val="both"/>
            <w:rPr>
              <w:rFonts w:ascii="Century Gothic" w:hAnsi="Century Gothic" w:cs="Arial"/>
            </w:rPr>
          </w:pPr>
          <w:r w:rsidRPr="001B0632">
            <w:rPr>
              <w:rFonts w:ascii="Century Gothic" w:hAnsi="Century Gothic" w:cs="Arial"/>
            </w:rPr>
            <w:t>·</w:t>
          </w:r>
          <w:r w:rsidRPr="001B0632">
            <w:rPr>
              <w:rFonts w:ascii="Century Gothic" w:hAnsi="Century Gothic" w:cs="Arial"/>
            </w:rPr>
            <w:tab/>
            <w:t>Crystal Lake Wind - 2.</w:t>
          </w:r>
          <w:r w:rsidR="004F50FA">
            <w:rPr>
              <w:rFonts w:ascii="Century Gothic" w:hAnsi="Century Gothic" w:cs="Arial"/>
            </w:rPr>
            <w:t>38</w:t>
          </w:r>
          <w:r w:rsidRPr="001B0632">
            <w:rPr>
              <w:rFonts w:ascii="Century Gothic" w:hAnsi="Century Gothic" w:cs="Arial"/>
            </w:rPr>
            <w:t>%</w:t>
          </w:r>
        </w:p>
        <w:p w:rsidR="001B0632" w:rsidRPr="001B0632" w:rsidRDefault="001B0632" w:rsidP="001B0632">
          <w:pPr>
            <w:autoSpaceDE w:val="0"/>
            <w:autoSpaceDN w:val="0"/>
            <w:adjustRightInd w:val="0"/>
            <w:spacing w:after="200"/>
            <w:ind w:left="720" w:hanging="360"/>
            <w:jc w:val="both"/>
            <w:rPr>
              <w:rFonts w:ascii="Century Gothic" w:hAnsi="Century Gothic" w:cs="Arial"/>
            </w:rPr>
          </w:pPr>
          <w:r w:rsidRPr="001B0632">
            <w:rPr>
              <w:rFonts w:ascii="Century Gothic" w:hAnsi="Century Gothic" w:cs="Arial"/>
            </w:rPr>
            <w:t>·</w:t>
          </w:r>
          <w:r w:rsidRPr="001B0632">
            <w:rPr>
              <w:rFonts w:ascii="Century Gothic" w:hAnsi="Century Gothic" w:cs="Arial"/>
            </w:rPr>
            <w:tab/>
            <w:t>Photovoltaic - .</w:t>
          </w:r>
          <w:r w:rsidR="004F50FA">
            <w:rPr>
              <w:rFonts w:ascii="Century Gothic" w:hAnsi="Century Gothic" w:cs="Arial"/>
            </w:rPr>
            <w:t>13</w:t>
          </w:r>
          <w:r w:rsidRPr="001B0632">
            <w:rPr>
              <w:rFonts w:ascii="Century Gothic" w:hAnsi="Century Gothic" w:cs="Arial"/>
            </w:rPr>
            <w:t>%</w:t>
          </w:r>
        </w:p>
        <w:p w:rsidR="001B0632" w:rsidRPr="001B0632" w:rsidRDefault="001B0632" w:rsidP="001B0632">
          <w:pPr>
            <w:autoSpaceDE w:val="0"/>
            <w:autoSpaceDN w:val="0"/>
            <w:adjustRightInd w:val="0"/>
            <w:spacing w:after="200"/>
            <w:jc w:val="both"/>
            <w:rPr>
              <w:rFonts w:ascii="Century Gothic" w:hAnsi="Century Gothic" w:cs="Arial"/>
            </w:rPr>
          </w:pPr>
          <w:r w:rsidRPr="001B0632">
            <w:rPr>
              <w:rFonts w:ascii="Century Gothic" w:hAnsi="Century Gothic" w:cs="Arial"/>
            </w:rPr>
            <w:t>Renewable Energy Total: 8</w:t>
          </w:r>
          <w:r w:rsidR="004F50FA">
            <w:rPr>
              <w:rFonts w:ascii="Century Gothic" w:hAnsi="Century Gothic" w:cs="Arial"/>
            </w:rPr>
            <w:t>0,998</w:t>
          </w:r>
          <w:r w:rsidRPr="001B0632">
            <w:rPr>
              <w:rFonts w:ascii="Century Gothic" w:hAnsi="Century Gothic" w:cs="Arial"/>
            </w:rPr>
            <w:t xml:space="preserve"> megawatt hours or </w:t>
          </w:r>
          <w:r>
            <w:rPr>
              <w:rFonts w:ascii="Century Gothic" w:hAnsi="Century Gothic" w:cs="Arial"/>
            </w:rPr>
            <w:t>6.</w:t>
          </w:r>
          <w:r w:rsidR="004F50FA">
            <w:rPr>
              <w:rFonts w:ascii="Century Gothic" w:hAnsi="Century Gothic" w:cs="Arial"/>
            </w:rPr>
            <w:t>6</w:t>
          </w:r>
          <w:r>
            <w:rPr>
              <w:rFonts w:ascii="Century Gothic" w:hAnsi="Century Gothic" w:cs="Arial"/>
            </w:rPr>
            <w:t>8</w:t>
          </w:r>
          <w:r w:rsidRPr="001B0632">
            <w:rPr>
              <w:rFonts w:ascii="Century Gothic" w:hAnsi="Century Gothic" w:cs="Arial"/>
            </w:rPr>
            <w:t>%</w:t>
          </w:r>
        </w:p>
        <w:p w:rsidR="001B0632" w:rsidRPr="001B0632" w:rsidRDefault="00472857" w:rsidP="001B0632">
          <w:pPr>
            <w:autoSpaceDE w:val="0"/>
            <w:autoSpaceDN w:val="0"/>
            <w:adjustRightInd w:val="0"/>
            <w:spacing w:after="200"/>
            <w:jc w:val="both"/>
            <w:rPr>
              <w:rFonts w:ascii="Century Gothic" w:hAnsi="Century Gothic" w:cs="Arial"/>
            </w:rPr>
          </w:pPr>
          <w:r>
            <w:rPr>
              <w:rFonts w:ascii="Century Gothic" w:hAnsi="Century Gothic" w:cs="Arial"/>
            </w:rPr>
            <w:t>The 2016 report</w:t>
          </w:r>
          <w:r w:rsidR="001B0632" w:rsidRPr="001B0632">
            <w:rPr>
              <w:rFonts w:ascii="Century Gothic" w:hAnsi="Century Gothic" w:cs="Arial"/>
            </w:rPr>
            <w:t xml:space="preserve"> estimated that </w:t>
          </w:r>
          <w:r w:rsidR="000445FA">
            <w:rPr>
              <w:rFonts w:ascii="Century Gothic" w:hAnsi="Century Gothic" w:cs="Arial"/>
            </w:rPr>
            <w:t>6.</w:t>
          </w:r>
          <w:r w:rsidR="004F50FA">
            <w:rPr>
              <w:rFonts w:ascii="Century Gothic" w:hAnsi="Century Gothic" w:cs="Arial"/>
            </w:rPr>
            <w:t>6</w:t>
          </w:r>
          <w:r w:rsidR="001B0632" w:rsidRPr="001B0632">
            <w:rPr>
              <w:rFonts w:ascii="Century Gothic" w:hAnsi="Century Gothic" w:cs="Arial"/>
            </w:rPr>
            <w:t>% of Columbia's electric energy for retail sales will be provided by Columbia's renewable energy portfolio</w:t>
          </w:r>
          <w:r w:rsidRPr="00472857">
            <w:rPr>
              <w:rFonts w:ascii="Century Gothic" w:hAnsi="Century Gothic" w:cs="Arial"/>
            </w:rPr>
            <w:t xml:space="preserve"> </w:t>
          </w:r>
          <w:r w:rsidRPr="001B0632">
            <w:rPr>
              <w:rFonts w:ascii="Century Gothic" w:hAnsi="Century Gothic" w:cs="Arial"/>
            </w:rPr>
            <w:t>in 201</w:t>
          </w:r>
          <w:r>
            <w:rPr>
              <w:rFonts w:ascii="Century Gothic" w:hAnsi="Century Gothic" w:cs="Arial"/>
            </w:rPr>
            <w:t>6</w:t>
          </w:r>
          <w:r w:rsidR="001B0632" w:rsidRPr="001B0632">
            <w:rPr>
              <w:rFonts w:ascii="Century Gothic" w:hAnsi="Century Gothic" w:cs="Arial"/>
            </w:rPr>
            <w:t>.</w:t>
          </w:r>
        </w:p>
        <w:p w:rsidR="00CE4274" w:rsidRPr="001B0632" w:rsidRDefault="001B0632" w:rsidP="001B0632">
          <w:pPr>
            <w:pStyle w:val="Normal1"/>
            <w:tabs>
              <w:tab w:val="left" w:pos="4425"/>
            </w:tabs>
            <w:contextualSpacing w:val="0"/>
            <w:rPr>
              <w:rFonts w:ascii="Century Gothic" w:hAnsi="Century Gothic" w:cs="Arial"/>
              <w:szCs w:val="24"/>
            </w:rPr>
          </w:pPr>
          <w:r w:rsidRPr="001B0632">
            <w:rPr>
              <w:rFonts w:ascii="Century Gothic" w:hAnsi="Century Gothic" w:cs="Arial"/>
              <w:szCs w:val="24"/>
            </w:rPr>
            <w:t xml:space="preserve">As outline in Section 27-106(b) of the Renewable Energy Standard ordinance, renewable energy cannot cause electric rates to increase more that 3% above what rates would be with non-renewable energy. Based on the methodology detailed in the Renewable Energy Report, current renewable energy resources have </w:t>
          </w:r>
          <w:r w:rsidR="00472857">
            <w:rPr>
              <w:rFonts w:ascii="Century Gothic" w:hAnsi="Century Gothic" w:cs="Arial"/>
              <w:szCs w:val="24"/>
            </w:rPr>
            <w:t>5</w:t>
          </w:r>
          <w:r w:rsidR="00102C38">
            <w:rPr>
              <w:rFonts w:ascii="Century Gothic" w:hAnsi="Century Gothic" w:cs="Arial"/>
              <w:szCs w:val="24"/>
            </w:rPr>
            <w:t>0.2</w:t>
          </w:r>
          <w:r w:rsidRPr="001B0632">
            <w:rPr>
              <w:rFonts w:ascii="Century Gothic" w:hAnsi="Century Gothic" w:cs="Arial"/>
              <w:szCs w:val="24"/>
            </w:rPr>
            <w:t>% of the allowed impact or 1.</w:t>
          </w:r>
          <w:r w:rsidR="00102C38">
            <w:rPr>
              <w:rFonts w:ascii="Century Gothic" w:hAnsi="Century Gothic" w:cs="Arial"/>
              <w:szCs w:val="24"/>
            </w:rPr>
            <w:t>5</w:t>
          </w:r>
          <w:r w:rsidRPr="001B0632">
            <w:rPr>
              <w:rFonts w:ascii="Century Gothic" w:hAnsi="Century Gothic" w:cs="Arial"/>
              <w:szCs w:val="24"/>
            </w:rPr>
            <w:t xml:space="preserve">% impact on rates. In 2014 Staff contracted with a financial analyst to review and recommend </w:t>
          </w:r>
          <w:r w:rsidRPr="001B0632">
            <w:rPr>
              <w:rFonts w:ascii="Century Gothic" w:hAnsi="Century Gothic" w:cs="Arial"/>
              <w:szCs w:val="24"/>
            </w:rPr>
            <w:lastRenderedPageBreak/>
            <w:t>a rate impact methodology for use in assessing the 3% rate impact limit, detailed in the ordinance. This recommended rate impact methodology was approved by the Water &amp; Light Advisory Board at their December 3, 2014 meeting and used in this report to assess compliance with the 3% rate impact limit. As required by the Ordinance, the report has been review by the Water &amp; Light Advisory Board and the Energy &amp; Environment Commission. Their comments are included with this memo.</w:t>
          </w:r>
        </w:p>
      </w:sdtContent>
    </w:sdt>
    <w:p w:rsidR="000F32D6" w:rsidRDefault="000F32D6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Style w:val="Style3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0445FA">
            <w:rPr>
              <w:rStyle w:val="Style3"/>
            </w:rPr>
            <w:t>NA</w:t>
          </w:r>
        </w:sdtContent>
      </w:sdt>
    </w:p>
    <w:p w:rsidR="007D1B9F" w:rsidRDefault="007D1B9F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Style3"/>
          </w:rPr>
        </w:sdtEndPr>
        <w:sdtContent>
          <w:r w:rsidR="000445FA">
            <w:rPr>
              <w:rStyle w:val="Style3"/>
            </w:rPr>
            <w:t>NA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175052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0445FA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>Environment</w:t>
      </w:r>
    </w:p>
    <w:p w:rsidR="004F48BF" w:rsidRDefault="004F48BF"/>
    <w:p w:rsidR="000E3DAB" w:rsidRDefault="00175052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0445FA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>NA</w:t>
      </w:r>
      <w:r w:rsidR="00C34BE7"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 w:rsidR="000445FA">
        <w:rPr>
          <w:rFonts w:ascii="Century Gothic" w:hAnsi="Century Gothic"/>
        </w:rPr>
        <w:t>Environmental Management</w:t>
      </w:r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897"/>
        <w:gridCol w:w="7723"/>
      </w:tblGrid>
      <w:tr w:rsidR="00C379A1" w:rsidTr="003F7F13">
        <w:tc>
          <w:tcPr>
            <w:tcW w:w="28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3F7F13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897" w:type="dxa"/>
                <w:shd w:val="clear" w:color="auto" w:fill="auto"/>
              </w:tcPr>
              <w:p w:rsidR="004C26F6" w:rsidRDefault="000445FA" w:rsidP="000445F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 </w:t>
                </w:r>
                <w:r w:rsidR="003F7F13"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723" w:type="dxa"/>
                <w:shd w:val="clear" w:color="auto" w:fill="auto"/>
              </w:tcPr>
              <w:p w:rsidR="004C26F6" w:rsidRDefault="000445FA" w:rsidP="000445F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 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751C47" wp14:editId="26CA90FC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51C47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bookmarkStart w:id="0" w:name="_GoBack" w:displacedByCustomXml="next"/>
    <w:bookmarkEnd w:id="0" w:displacedByCustomXml="next"/>
    <w:sdt>
      <w:sdtPr>
        <w:rPr>
          <w:rFonts w:ascii="Century Gothic" w:hAnsi="Century Gothic"/>
          <w:color w:val="auto"/>
          <w:szCs w:val="24"/>
        </w:rPr>
        <w:id w:val="-664856735"/>
        <w:placeholder>
          <w:docPart w:val="CB4940772BDC42B6AF75C605D844F3A8"/>
        </w:placeholder>
      </w:sdtPr>
      <w:sdtEndPr/>
      <w:sdtContent>
        <w:p w:rsidR="000445FA" w:rsidRPr="003F7F13" w:rsidRDefault="000445FA" w:rsidP="000445FA">
          <w:pPr>
            <w:pStyle w:val="Normal1"/>
            <w:contextualSpacing w:val="0"/>
            <w:rPr>
              <w:rFonts w:ascii="Century Gothic" w:hAnsi="Century Gothic"/>
            </w:rPr>
          </w:pPr>
          <w:r w:rsidRPr="003F7F13">
            <w:rPr>
              <w:rFonts w:ascii="Century Gothic" w:eastAsia="Arial" w:hAnsi="Century Gothic" w:cs="Arial"/>
            </w:rPr>
            <w:t>Council to hold a public hearing for approval of the 201</w:t>
          </w:r>
          <w:r w:rsidR="00472857" w:rsidRPr="003F7F13">
            <w:rPr>
              <w:rFonts w:ascii="Century Gothic" w:eastAsia="Arial" w:hAnsi="Century Gothic" w:cs="Arial"/>
            </w:rPr>
            <w:t>7</w:t>
          </w:r>
          <w:r w:rsidRPr="003F7F13">
            <w:rPr>
              <w:rFonts w:ascii="Century Gothic" w:eastAsia="Arial" w:hAnsi="Century Gothic" w:cs="Arial"/>
            </w:rPr>
            <w:t xml:space="preserve"> Renewable Energy Report.</w:t>
          </w:r>
        </w:p>
        <w:p w:rsidR="00C379A1" w:rsidRPr="00974B88" w:rsidRDefault="00175052" w:rsidP="00C379A1">
          <w:pPr>
            <w:tabs>
              <w:tab w:val="left" w:pos="4530"/>
            </w:tabs>
            <w:rPr>
              <w:rFonts w:ascii="Century Gothic" w:hAnsi="Century Gothic"/>
            </w:rPr>
          </w:pP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052" w:rsidRDefault="00175052" w:rsidP="004A4C2D">
      <w:r>
        <w:separator/>
      </w:r>
    </w:p>
  </w:endnote>
  <w:endnote w:type="continuationSeparator" w:id="0">
    <w:p w:rsidR="00175052" w:rsidRDefault="00175052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052" w:rsidRDefault="00175052" w:rsidP="004A4C2D">
      <w:r>
        <w:separator/>
      </w:r>
    </w:p>
  </w:footnote>
  <w:footnote w:type="continuationSeparator" w:id="0">
    <w:p w:rsidR="00175052" w:rsidRDefault="00175052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2D"/>
    <w:rsid w:val="000445FA"/>
    <w:rsid w:val="000476B6"/>
    <w:rsid w:val="000564F4"/>
    <w:rsid w:val="00081116"/>
    <w:rsid w:val="00092AD1"/>
    <w:rsid w:val="000C406F"/>
    <w:rsid w:val="000E2AA6"/>
    <w:rsid w:val="000E3DAB"/>
    <w:rsid w:val="000F2132"/>
    <w:rsid w:val="000F32D6"/>
    <w:rsid w:val="00102C38"/>
    <w:rsid w:val="0011191B"/>
    <w:rsid w:val="00160464"/>
    <w:rsid w:val="00175052"/>
    <w:rsid w:val="0018723D"/>
    <w:rsid w:val="001A5C40"/>
    <w:rsid w:val="001B0314"/>
    <w:rsid w:val="001B0632"/>
    <w:rsid w:val="001D1F67"/>
    <w:rsid w:val="001E142A"/>
    <w:rsid w:val="001F1288"/>
    <w:rsid w:val="002773F7"/>
    <w:rsid w:val="0029105E"/>
    <w:rsid w:val="002C289E"/>
    <w:rsid w:val="002D380E"/>
    <w:rsid w:val="002F3061"/>
    <w:rsid w:val="00340994"/>
    <w:rsid w:val="00344C59"/>
    <w:rsid w:val="00381A9D"/>
    <w:rsid w:val="003C57DC"/>
    <w:rsid w:val="003F7F13"/>
    <w:rsid w:val="0041404F"/>
    <w:rsid w:val="00472857"/>
    <w:rsid w:val="00480AED"/>
    <w:rsid w:val="0048496D"/>
    <w:rsid w:val="004A4C2D"/>
    <w:rsid w:val="004A51CB"/>
    <w:rsid w:val="004C26F6"/>
    <w:rsid w:val="004C2DE4"/>
    <w:rsid w:val="004F4650"/>
    <w:rsid w:val="004F48BF"/>
    <w:rsid w:val="004F50FA"/>
    <w:rsid w:val="00524550"/>
    <w:rsid w:val="00535B72"/>
    <w:rsid w:val="00572FBB"/>
    <w:rsid w:val="005831E4"/>
    <w:rsid w:val="00591DC5"/>
    <w:rsid w:val="005B3871"/>
    <w:rsid w:val="005B4F27"/>
    <w:rsid w:val="005F6088"/>
    <w:rsid w:val="00625FCB"/>
    <w:rsid w:val="00646D99"/>
    <w:rsid w:val="006974F7"/>
    <w:rsid w:val="006D6E9E"/>
    <w:rsid w:val="006F185A"/>
    <w:rsid w:val="00791D82"/>
    <w:rsid w:val="007B76F4"/>
    <w:rsid w:val="007D1B9F"/>
    <w:rsid w:val="008078EB"/>
    <w:rsid w:val="008372DA"/>
    <w:rsid w:val="00852DF7"/>
    <w:rsid w:val="00883565"/>
    <w:rsid w:val="008A7058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664A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A382F"/>
    <w:rsid w:val="00DC18D1"/>
    <w:rsid w:val="00DC756F"/>
    <w:rsid w:val="00DE2810"/>
    <w:rsid w:val="00DF4837"/>
    <w:rsid w:val="00E21F4E"/>
    <w:rsid w:val="00E518F5"/>
    <w:rsid w:val="00E52526"/>
    <w:rsid w:val="00E74D19"/>
    <w:rsid w:val="00EB1A02"/>
    <w:rsid w:val="00EC03ED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F8832E-02F9-4DAC-9C02-F9B7B431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customStyle="1" w:styleId="Normal1">
    <w:name w:val="Normal1"/>
    <w:rsid w:val="001B0632"/>
    <w:pPr>
      <w:widowControl w:val="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B260D"/>
    <w:rsid w:val="002E6193"/>
    <w:rsid w:val="00331D1F"/>
    <w:rsid w:val="003C79DA"/>
    <w:rsid w:val="00412C43"/>
    <w:rsid w:val="0043257E"/>
    <w:rsid w:val="004C0099"/>
    <w:rsid w:val="004C7A0B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17525"/>
    <w:rsid w:val="00B54DAB"/>
    <w:rsid w:val="00B60F60"/>
    <w:rsid w:val="00BB21DC"/>
    <w:rsid w:val="00C22202"/>
    <w:rsid w:val="00D626D5"/>
    <w:rsid w:val="00E97020"/>
    <w:rsid w:val="00EF0954"/>
    <w:rsid w:val="00F170DA"/>
    <w:rsid w:val="00F53AFC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A106-7BE1-43C8-A0B5-FB567865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5</cp:revision>
  <cp:lastPrinted>2017-03-27T18:40:00Z</cp:lastPrinted>
  <dcterms:created xsi:type="dcterms:W3CDTF">2017-03-28T19:02:00Z</dcterms:created>
  <dcterms:modified xsi:type="dcterms:W3CDTF">2017-03-30T13:48:00Z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