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ED35CD">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ED35CD">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B0EC9">
            <w:rPr>
              <w:rStyle w:val="Style3"/>
              <w:rFonts w:eastAsiaTheme="majorEastAsia"/>
            </w:rPr>
            <w:t>Amendments to Agreements and New Services Agreement with</w:t>
          </w:r>
          <w:r w:rsidR="00ED35CD">
            <w:rPr>
              <w:rStyle w:val="Style3"/>
              <w:rFonts w:eastAsiaTheme="majorEastAsia"/>
            </w:rPr>
            <w:t xml:space="preserve"> N. Harris Computer Corp.</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D35CD">
          <w:pPr>
            <w:rPr>
              <w:rFonts w:ascii="Century Gothic" w:hAnsi="Century Gothic"/>
            </w:rPr>
          </w:pPr>
          <w:r>
            <w:rPr>
              <w:rFonts w:ascii="Century Gothic" w:hAnsi="Century Gothic"/>
            </w:rPr>
            <w:t xml:space="preserve">Authorizes </w:t>
          </w:r>
          <w:r w:rsidR="000B0EC9">
            <w:rPr>
              <w:rFonts w:ascii="Century Gothic" w:hAnsi="Century Gothic"/>
            </w:rPr>
            <w:t xml:space="preserve">a new services agreement and </w:t>
          </w:r>
          <w:r>
            <w:rPr>
              <w:rFonts w:ascii="Century Gothic" w:hAnsi="Century Gothic"/>
            </w:rPr>
            <w:t xml:space="preserve">amendments to the </w:t>
          </w:r>
          <w:r w:rsidR="005D618D">
            <w:rPr>
              <w:rFonts w:ascii="Century Gothic" w:hAnsi="Century Gothic"/>
            </w:rPr>
            <w:t xml:space="preserve">original </w:t>
          </w:r>
          <w:r>
            <w:rPr>
              <w:rFonts w:ascii="Century Gothic" w:hAnsi="Century Gothic"/>
            </w:rPr>
            <w:t xml:space="preserve">agreements for Advanced Utilities Software </w:t>
          </w:r>
          <w:r w:rsidR="00C2545C">
            <w:rPr>
              <w:rFonts w:ascii="Century Gothic" w:hAnsi="Century Gothic"/>
            </w:rPr>
            <w:t xml:space="preserve">(Utility billing) </w:t>
          </w:r>
          <w:r>
            <w:rPr>
              <w:rFonts w:ascii="Century Gothic" w:hAnsi="Century Gothic"/>
            </w:rPr>
            <w:t xml:space="preserve">to allow </w:t>
          </w:r>
          <w:r w:rsidR="005D618D">
            <w:rPr>
              <w:rFonts w:ascii="Century Gothic" w:hAnsi="Century Gothic"/>
            </w:rPr>
            <w:t>for additional user licenses</w:t>
          </w:r>
          <w:r>
            <w:rPr>
              <w:rFonts w:ascii="Century Gothic" w:hAnsi="Century Gothic"/>
            </w:rPr>
            <w:t>, implementation services for online utilities</w:t>
          </w:r>
          <w:r w:rsidR="005D618D">
            <w:rPr>
              <w:rFonts w:ascii="Century Gothic" w:hAnsi="Century Gothic"/>
            </w:rPr>
            <w:t>, mobile</w:t>
          </w:r>
          <w:r>
            <w:rPr>
              <w:rFonts w:ascii="Century Gothic" w:hAnsi="Century Gothic"/>
            </w:rPr>
            <w:t xml:space="preserve"> and </w:t>
          </w:r>
          <w:r w:rsidR="000B0EC9">
            <w:rPr>
              <w:rFonts w:ascii="Century Gothic" w:hAnsi="Century Gothic"/>
            </w:rPr>
            <w:t>ongoing support and maintenance related to the increase in licenses.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483847750"/>
        <w:placeholder>
          <w:docPart w:val="6792868BEFB34C2886C22694191C8B0B"/>
        </w:placeholder>
      </w:sdtPr>
      <w:sdtEndPr/>
      <w:sdtContent>
        <w:p w:rsidR="00ED35CD" w:rsidRDefault="00ED35CD" w:rsidP="00ED35CD">
          <w:pPr>
            <w:rPr>
              <w:rFonts w:ascii="Century Gothic" w:hAnsi="Century Gothic"/>
            </w:rPr>
          </w:pPr>
          <w:r>
            <w:rPr>
              <w:rFonts w:ascii="Century Gothic" w:hAnsi="Century Gothic"/>
            </w:rPr>
            <w:t>Authorizes</w:t>
          </w:r>
          <w:r w:rsidR="000B0EC9">
            <w:rPr>
              <w:rFonts w:ascii="Century Gothic" w:hAnsi="Century Gothic"/>
            </w:rPr>
            <w:t xml:space="preserve"> a new services agreement and</w:t>
          </w:r>
          <w:r>
            <w:rPr>
              <w:rFonts w:ascii="Century Gothic" w:hAnsi="Century Gothic"/>
            </w:rPr>
            <w:t xml:space="preserve"> amendments to the agreements for Advanced Utilities Software to allow </w:t>
          </w:r>
          <w:r w:rsidR="005D618D">
            <w:rPr>
              <w:rFonts w:ascii="Century Gothic" w:hAnsi="Century Gothic"/>
            </w:rPr>
            <w:t xml:space="preserve">for </w:t>
          </w:r>
          <w:r>
            <w:rPr>
              <w:rFonts w:ascii="Century Gothic" w:hAnsi="Century Gothic"/>
            </w:rPr>
            <w:t>additional</w:t>
          </w:r>
          <w:r w:rsidR="005D618D">
            <w:rPr>
              <w:rFonts w:ascii="Century Gothic" w:hAnsi="Century Gothic"/>
            </w:rPr>
            <w:t xml:space="preserve"> user</w:t>
          </w:r>
          <w:r>
            <w:rPr>
              <w:rFonts w:ascii="Century Gothic" w:hAnsi="Century Gothic"/>
            </w:rPr>
            <w:t xml:space="preserve"> license</w:t>
          </w:r>
          <w:r w:rsidR="005D618D">
            <w:rPr>
              <w:rFonts w:ascii="Century Gothic" w:hAnsi="Century Gothic"/>
            </w:rPr>
            <w:t>s</w:t>
          </w:r>
          <w:r>
            <w:rPr>
              <w:rFonts w:ascii="Century Gothic" w:hAnsi="Century Gothic"/>
            </w:rPr>
            <w:t>, implementation services for online utilities</w:t>
          </w:r>
          <w:r w:rsidR="000B0EC9">
            <w:rPr>
              <w:rFonts w:ascii="Century Gothic" w:hAnsi="Century Gothic"/>
            </w:rPr>
            <w:t>, mobile,</w:t>
          </w:r>
          <w:r>
            <w:rPr>
              <w:rFonts w:ascii="Century Gothic" w:hAnsi="Century Gothic"/>
            </w:rPr>
            <w:t xml:space="preserve"> and ongoing support and maintenance. </w:t>
          </w:r>
        </w:p>
        <w:p w:rsidR="00ED35CD" w:rsidRDefault="00ED35CD" w:rsidP="00ED35CD">
          <w:pPr>
            <w:rPr>
              <w:rFonts w:ascii="Century Gothic" w:hAnsi="Century Gothic"/>
            </w:rPr>
          </w:pPr>
        </w:p>
        <w:p w:rsidR="00ED35CD" w:rsidRDefault="00ED35CD" w:rsidP="00ED35CD">
          <w:pPr>
            <w:rPr>
              <w:rFonts w:ascii="Century Gothic" w:hAnsi="Century Gothic"/>
            </w:rPr>
          </w:pPr>
          <w:r>
            <w:rPr>
              <w:rFonts w:ascii="Century Gothic" w:hAnsi="Century Gothic"/>
            </w:rPr>
            <w:t xml:space="preserve">The original contract with N. Harris Computer Corporation (Advanced Utilities Software) only included the number of licenses that were estimated to be necessary to get the software operational. This was done to avoid unnecessary fees on licenses that were not going to be used until the software was live which occurred in </w:t>
          </w:r>
          <w:r w:rsidR="007D65C7">
            <w:rPr>
              <w:rFonts w:ascii="Century Gothic" w:hAnsi="Century Gothic"/>
            </w:rPr>
            <w:t>August</w:t>
          </w:r>
          <w:r>
            <w:rPr>
              <w:rFonts w:ascii="Century Gothic" w:hAnsi="Century Gothic"/>
            </w:rPr>
            <w:t>, 2016.</w:t>
          </w:r>
        </w:p>
        <w:p w:rsidR="00ED35CD" w:rsidRDefault="00ED35CD" w:rsidP="00ED35CD">
          <w:pPr>
            <w:rPr>
              <w:rFonts w:ascii="Century Gothic" w:hAnsi="Century Gothic"/>
            </w:rPr>
          </w:pPr>
        </w:p>
        <w:p w:rsidR="00ED35CD" w:rsidRDefault="00ED35CD" w:rsidP="00ED35CD">
          <w:pPr>
            <w:rPr>
              <w:rFonts w:ascii="Century Gothic" w:hAnsi="Century Gothic"/>
            </w:rPr>
          </w:pPr>
          <w:r>
            <w:rPr>
              <w:rFonts w:ascii="Century Gothic" w:hAnsi="Century Gothic"/>
            </w:rPr>
            <w:t xml:space="preserve">In addition, </w:t>
          </w:r>
          <w:r w:rsidR="000B0EC9">
            <w:rPr>
              <w:rFonts w:ascii="Century Gothic" w:hAnsi="Century Gothic"/>
            </w:rPr>
            <w:t xml:space="preserve">there is a new services agreement related to the implementation of </w:t>
          </w:r>
          <w:r>
            <w:rPr>
              <w:rFonts w:ascii="Century Gothic" w:hAnsi="Century Gothic"/>
            </w:rPr>
            <w:t xml:space="preserve">the online module of the software which will allow customers to access their accounts. This </w:t>
          </w:r>
          <w:r w:rsidR="00874542">
            <w:rPr>
              <w:rFonts w:ascii="Century Gothic" w:hAnsi="Century Gothic"/>
            </w:rPr>
            <w:t>was listed as optional</w:t>
          </w:r>
          <w:r>
            <w:rPr>
              <w:rFonts w:ascii="Century Gothic" w:hAnsi="Century Gothic"/>
            </w:rPr>
            <w:t xml:space="preserve"> in </w:t>
          </w:r>
          <w:r w:rsidR="00874542">
            <w:rPr>
              <w:rFonts w:ascii="Century Gothic" w:hAnsi="Century Gothic"/>
            </w:rPr>
            <w:t xml:space="preserve">the </w:t>
          </w:r>
          <w:r>
            <w:rPr>
              <w:rFonts w:ascii="Century Gothic" w:hAnsi="Century Gothic"/>
            </w:rPr>
            <w:t>original contract.</w:t>
          </w:r>
        </w:p>
        <w:p w:rsidR="00ED35CD" w:rsidRDefault="00ED35CD" w:rsidP="00ED35CD">
          <w:pPr>
            <w:rPr>
              <w:rFonts w:ascii="Century Gothic" w:hAnsi="Century Gothic"/>
            </w:rPr>
          </w:pPr>
        </w:p>
        <w:p w:rsidR="00C2545C" w:rsidRDefault="00ED35CD" w:rsidP="00C2545C">
          <w:pPr>
            <w:pStyle w:val="NormalWeb"/>
            <w:spacing w:before="0" w:beforeAutospacing="0" w:after="0" w:afterAutospacing="0"/>
          </w:pPr>
          <w:r>
            <w:rPr>
              <w:rFonts w:ascii="Century Gothic" w:hAnsi="Century Gothic"/>
            </w:rPr>
            <w:t xml:space="preserve">This authorization moves funds already appropriated to the COFERS project </w:t>
          </w:r>
          <w:r w:rsidR="007D65C7">
            <w:rPr>
              <w:rFonts w:ascii="Century Gothic" w:hAnsi="Century Gothic"/>
            </w:rPr>
            <w:t>specifically to the N</w:t>
          </w:r>
          <w:r w:rsidR="00730760">
            <w:rPr>
              <w:rFonts w:ascii="Century Gothic" w:hAnsi="Century Gothic"/>
            </w:rPr>
            <w:t>. Harris Computer Corporation project to increase the do not exceed amounts for Advanced Utilities Software.</w:t>
          </w:r>
          <w:r w:rsidR="00C2545C">
            <w:rPr>
              <w:rFonts w:ascii="Century Gothic" w:hAnsi="Century Gothic"/>
            </w:rPr>
            <w:t xml:space="preserve"> </w:t>
          </w:r>
          <w:r w:rsidR="00C2545C">
            <w:rPr>
              <w:rFonts w:ascii="Century Gothic" w:hAnsi="Century Gothic"/>
              <w:color w:val="000000"/>
            </w:rPr>
            <w:t xml:space="preserve">Staff is requesting the “not to exceed” amount of the contract be increased by $408,275 to retain the validity of the contract and authorizing ordinance. </w:t>
          </w:r>
        </w:p>
        <w:p w:rsidR="00ED35CD" w:rsidRDefault="00155932" w:rsidP="00ED35CD">
          <w:pPr>
            <w:rPr>
              <w:rFonts w:ascii="Century Gothic" w:hAnsi="Century Gothic"/>
            </w:rPr>
          </w:pPr>
        </w:p>
      </w:sdtContent>
    </w:sdt>
    <w:p w:rsidR="002773F7" w:rsidRDefault="00ED35CD" w:rsidP="00ED35CD">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30760">
            <w:rPr>
              <w:rStyle w:val="Style3"/>
            </w:rPr>
            <w:t>$446,775 Cost of Link Software, Mobile, Additional Licenses, Service &amp; Travel for implementation and Maintenance.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30760">
            <w:rPr>
              <w:rStyle w:val="Style3"/>
            </w:rPr>
            <w:t>$69.375 of additional maintenance cost annually</w:t>
          </w:r>
        </w:sdtContent>
      </w:sdt>
    </w:p>
    <w:p w:rsidR="00C379A1" w:rsidRDefault="00C379A1" w:rsidP="00155932">
      <w:pPr>
        <w:keepNext/>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rsidP="00155932">
      <w:pPr>
        <w:keepNext/>
        <w:rPr>
          <w:rFonts w:ascii="Century Gothic" w:hAnsi="Century Gothic"/>
        </w:rPr>
      </w:pPr>
    </w:p>
    <w:p w:rsidR="00C379A1" w:rsidRDefault="00C379A1" w:rsidP="00155932">
      <w:pPr>
        <w:keepNext/>
        <w:rPr>
          <w:rFonts w:ascii="Century Gothic" w:hAnsi="Century Gothic"/>
        </w:rPr>
      </w:pPr>
      <w:bookmarkStart w:id="0" w:name="_GoBack"/>
      <w:bookmarkEnd w:id="0"/>
    </w:p>
    <w:p w:rsidR="00C34BE7" w:rsidRDefault="00155932" w:rsidP="00155932">
      <w:pPr>
        <w:keepNext/>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155932">
      <w:pPr>
        <w:keepNext/>
        <w:rPr>
          <w:color w:val="808080" w:themeColor="background1" w:themeShade="80"/>
        </w:rPr>
      </w:pPr>
      <w:r>
        <w:rPr>
          <w:rFonts w:ascii="Century Gothic" w:hAnsi="Century Gothic"/>
        </w:rPr>
        <w:lastRenderedPageBreak/>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30760">
            <w:rPr>
              <w:rStyle w:val="Style3"/>
            </w:rPr>
            <w:t>Community Facilities &amp; Services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30760">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30760">
            <w:rPr>
              <w:rStyle w:val="Style3"/>
            </w:rPr>
            <w:t>Not Applicable</w:t>
          </w:r>
        </w:sdtContent>
      </w:sdt>
    </w:p>
    <w:p w:rsidR="004F48BF" w:rsidRDefault="004F48BF"/>
    <w:p w:rsidR="000E3DAB" w:rsidRDefault="00155932">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74542">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74542">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74542">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74542">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74542">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74542">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874542" w:rsidRDefault="00874542" w:rsidP="00874542"/>
              <w:tbl>
                <w:tblPr>
                  <w:tblW w:w="0" w:type="auto"/>
                  <w:tblCellMar>
                    <w:top w:w="15" w:type="dxa"/>
                    <w:left w:w="15" w:type="dxa"/>
                    <w:bottom w:w="15" w:type="dxa"/>
                    <w:right w:w="15" w:type="dxa"/>
                  </w:tblCellMar>
                  <w:tblLook w:val="04A0" w:firstRow="1" w:lastRow="0" w:firstColumn="1" w:lastColumn="0" w:noHBand="0" w:noVBand="1"/>
                </w:tblPr>
                <w:tblGrid>
                  <w:gridCol w:w="2574"/>
                </w:tblGrid>
                <w:tr w:rsidR="00874542" w:rsidTr="00155932">
                  <w:tc>
                    <w:tcPr>
                      <w:tcW w:w="0" w:type="auto"/>
                      <w:shd w:val="clear" w:color="auto" w:fill="FFFFFF"/>
                      <w:tcMar>
                        <w:top w:w="0" w:type="dxa"/>
                        <w:left w:w="115" w:type="dxa"/>
                        <w:bottom w:w="0" w:type="dxa"/>
                        <w:right w:w="115" w:type="dxa"/>
                      </w:tcMar>
                      <w:hideMark/>
                    </w:tcPr>
                    <w:p w:rsidR="00874542" w:rsidRDefault="00874542" w:rsidP="00874542">
                      <w:pPr>
                        <w:pStyle w:val="NormalWeb"/>
                        <w:spacing w:before="0" w:beforeAutospacing="0" w:after="0" w:afterAutospacing="0"/>
                      </w:pPr>
                      <w:r>
                        <w:rPr>
                          <w:rFonts w:ascii="Century Gothic" w:hAnsi="Century Gothic"/>
                          <w:color w:val="000000"/>
                        </w:rPr>
                        <w:t>Date of original contract – August 2014</w:t>
                      </w:r>
                    </w:p>
                  </w:tc>
                </w:tr>
              </w:tbl>
              <w:p w:rsidR="004C26F6" w:rsidRDefault="004C26F6" w:rsidP="00E52526">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874542" w:rsidP="00952E34">
                <w:pPr>
                  <w:rPr>
                    <w:rFonts w:ascii="Century Gothic" w:hAnsi="Century Gothic"/>
                  </w:rPr>
                </w:pPr>
                <w:r>
                  <w:rPr>
                    <w:rFonts w:ascii="Century Gothic" w:hAnsi="Century Gothic"/>
                    <w:color w:val="000000"/>
                  </w:rPr>
                  <w:t>Bill 226-14 – Ordinance authorizing the agreement with N. Harris Computer Corporation for the licensing, implementation, support and maintenance of utility billing software; appropriating funds; and fixing a time for when the ordinance shall become effective.</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874542" w:rsidRDefault="00874542" w:rsidP="00874542">
          <w:pPr>
            <w:pStyle w:val="NormalWeb"/>
            <w:spacing w:before="0" w:beforeAutospacing="0" w:after="0" w:afterAutospacing="0"/>
          </w:pPr>
          <w:r>
            <w:rPr>
              <w:rFonts w:ascii="Century Gothic" w:hAnsi="Century Gothic"/>
              <w:color w:val="000000"/>
            </w:rPr>
            <w:t>Staff recommends Council approve an ordinance authorizing the City Manager to execute a new services agreement with Harris Corporation for Infinity Link</w:t>
          </w:r>
          <w:r w:rsidR="00823EA9">
            <w:rPr>
              <w:rFonts w:ascii="Century Gothic" w:hAnsi="Century Gothic"/>
              <w:color w:val="000000"/>
            </w:rPr>
            <w:t>, Mobile Services</w:t>
          </w:r>
          <w:r>
            <w:rPr>
              <w:rFonts w:ascii="Century Gothic" w:hAnsi="Century Gothic"/>
              <w:color w:val="000000"/>
            </w:rPr>
            <w:t xml:space="preserve"> and to amend the original master software license agreement, master software implementation agreement and the master software support and maintenance agreement.</w:t>
          </w:r>
        </w:p>
        <w:p w:rsidR="00C379A1" w:rsidRPr="00974B88" w:rsidRDefault="00155932"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B0EC9"/>
    <w:rsid w:val="000E2AA6"/>
    <w:rsid w:val="000E37AB"/>
    <w:rsid w:val="000E3DAB"/>
    <w:rsid w:val="0011191B"/>
    <w:rsid w:val="00155932"/>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D618D"/>
    <w:rsid w:val="005F6088"/>
    <w:rsid w:val="00625FCB"/>
    <w:rsid w:val="00646D99"/>
    <w:rsid w:val="006D6E9E"/>
    <w:rsid w:val="006F185A"/>
    <w:rsid w:val="00730760"/>
    <w:rsid w:val="00791D82"/>
    <w:rsid w:val="007B79CA"/>
    <w:rsid w:val="007D65C7"/>
    <w:rsid w:val="008078EB"/>
    <w:rsid w:val="00823EA9"/>
    <w:rsid w:val="008372DA"/>
    <w:rsid w:val="00852DF7"/>
    <w:rsid w:val="00874542"/>
    <w:rsid w:val="00883565"/>
    <w:rsid w:val="0089619D"/>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27601"/>
    <w:rsid w:val="00B62049"/>
    <w:rsid w:val="00B972D7"/>
    <w:rsid w:val="00BA374B"/>
    <w:rsid w:val="00BD7739"/>
    <w:rsid w:val="00BE10D5"/>
    <w:rsid w:val="00BE5FE4"/>
    <w:rsid w:val="00C2545C"/>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D35CD"/>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8745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8745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34816">
      <w:bodyDiv w:val="1"/>
      <w:marLeft w:val="0"/>
      <w:marRight w:val="0"/>
      <w:marTop w:val="0"/>
      <w:marBottom w:val="0"/>
      <w:divBdr>
        <w:top w:val="none" w:sz="0" w:space="0" w:color="auto"/>
        <w:left w:val="none" w:sz="0" w:space="0" w:color="auto"/>
        <w:bottom w:val="none" w:sz="0" w:space="0" w:color="auto"/>
        <w:right w:val="none" w:sz="0" w:space="0" w:color="auto"/>
      </w:divBdr>
      <w:divsChild>
        <w:div w:id="1741058634">
          <w:marLeft w:val="83"/>
          <w:marRight w:val="0"/>
          <w:marTop w:val="0"/>
          <w:marBottom w:val="0"/>
          <w:divBdr>
            <w:top w:val="none" w:sz="0" w:space="0" w:color="auto"/>
            <w:left w:val="none" w:sz="0" w:space="0" w:color="auto"/>
            <w:bottom w:val="none" w:sz="0" w:space="0" w:color="auto"/>
            <w:right w:val="none" w:sz="0" w:space="0" w:color="auto"/>
          </w:divBdr>
        </w:div>
      </w:divsChild>
    </w:div>
    <w:div w:id="1163859055">
      <w:bodyDiv w:val="1"/>
      <w:marLeft w:val="0"/>
      <w:marRight w:val="0"/>
      <w:marTop w:val="0"/>
      <w:marBottom w:val="0"/>
      <w:divBdr>
        <w:top w:val="none" w:sz="0" w:space="0" w:color="auto"/>
        <w:left w:val="none" w:sz="0" w:space="0" w:color="auto"/>
        <w:bottom w:val="none" w:sz="0" w:space="0" w:color="auto"/>
        <w:right w:val="none" w:sz="0" w:space="0" w:color="auto"/>
      </w:divBdr>
    </w:div>
    <w:div w:id="1426611107">
      <w:bodyDiv w:val="1"/>
      <w:marLeft w:val="0"/>
      <w:marRight w:val="0"/>
      <w:marTop w:val="0"/>
      <w:marBottom w:val="0"/>
      <w:divBdr>
        <w:top w:val="none" w:sz="0" w:space="0" w:color="auto"/>
        <w:left w:val="none" w:sz="0" w:space="0" w:color="auto"/>
        <w:bottom w:val="none" w:sz="0" w:space="0" w:color="auto"/>
        <w:right w:val="none" w:sz="0" w:space="0" w:color="auto"/>
      </w:divBdr>
    </w:div>
    <w:div w:id="19801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6792868BEFB34C2886C22694191C8B0B"/>
        <w:category>
          <w:name w:val="General"/>
          <w:gallery w:val="placeholder"/>
        </w:category>
        <w:types>
          <w:type w:val="bbPlcHdr"/>
        </w:types>
        <w:behaviors>
          <w:behavior w:val="content"/>
        </w:behaviors>
        <w:guid w:val="{4F8E5541-2B16-446B-B63A-E1E5205C1DB6}"/>
      </w:docPartPr>
      <w:docPartBody>
        <w:p w:rsidR="00FD2C95" w:rsidRDefault="00E57C5C" w:rsidP="00E57C5C">
          <w:pPr>
            <w:pStyle w:val="6792868BEFB34C2886C22694191C8B0B"/>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57C5C"/>
    <w:rsid w:val="00E97020"/>
    <w:rsid w:val="00EF0954"/>
    <w:rsid w:val="00F170DA"/>
    <w:rsid w:val="00FD2C95"/>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57C5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6792868BEFB34C2886C22694191C8B0B">
    <w:name w:val="6792868BEFB34C2886C22694191C8B0B"/>
    <w:rsid w:val="00E57C5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57C5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6792868BEFB34C2886C22694191C8B0B">
    <w:name w:val="6792868BEFB34C2886C22694191C8B0B"/>
    <w:rsid w:val="00E57C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CB85-25E9-4F8B-9A83-D7926F50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2842</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3</cp:revision>
  <cp:lastPrinted>2013-11-01T14:38:00Z</cp:lastPrinted>
  <dcterms:created xsi:type="dcterms:W3CDTF">2017-03-30T16:44:00Z</dcterms:created>
  <dcterms:modified xsi:type="dcterms:W3CDTF">2017-03-30T16:46:00Z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