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E58" w:rsidRDefault="00FB21A6" w:rsidP="00B931E6">
      <w:pPr>
        <w:pStyle w:val="Heading2"/>
        <w:spacing w:before="0" w:after="0" w:line="240" w:lineRule="auto"/>
        <w:jc w:val="center"/>
        <w:rPr>
          <w:rFonts w:ascii="Calibri" w:hAnsi="Calibri"/>
          <w:i w:val="0"/>
        </w:rPr>
      </w:pPr>
      <w:r>
        <w:rPr>
          <w:rFonts w:ascii="Calibri" w:hAnsi="Calibri"/>
          <w:i w:val="0"/>
          <w:noProof/>
        </w:rPr>
        <mc:AlternateContent>
          <mc:Choice Requires="wps">
            <w:drawing>
              <wp:anchor distT="0" distB="0" distL="114300" distR="114300" simplePos="0" relativeHeight="251659264" behindDoc="0" locked="0" layoutInCell="1" allowOverlap="1">
                <wp:simplePos x="0" y="0"/>
                <wp:positionH relativeFrom="column">
                  <wp:posOffset>5133703</wp:posOffset>
                </wp:positionH>
                <wp:positionV relativeFrom="paragraph">
                  <wp:posOffset>-613954</wp:posOffset>
                </wp:positionV>
                <wp:extent cx="1201783" cy="313508"/>
                <wp:effectExtent l="0" t="0" r="0" b="0"/>
                <wp:wrapNone/>
                <wp:docPr id="1" name="Text Box 1"/>
                <wp:cNvGraphicFramePr/>
                <a:graphic xmlns:a="http://schemas.openxmlformats.org/drawingml/2006/main">
                  <a:graphicData uri="http://schemas.microsoft.com/office/word/2010/wordprocessingShape">
                    <wps:wsp>
                      <wps:cNvSpPr txBox="1"/>
                      <wps:spPr>
                        <a:xfrm>
                          <a:off x="0" y="0"/>
                          <a:ext cx="1201783" cy="31350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B21A6" w:rsidRPr="00FB21A6" w:rsidRDefault="00FB21A6" w:rsidP="00FB21A6">
                            <w:pPr>
                              <w:jc w:val="center"/>
                              <w:rPr>
                                <w:rFonts w:ascii="Arial" w:hAnsi="Arial" w:cs="Arial"/>
                              </w:rPr>
                            </w:pPr>
                            <w:r w:rsidRPr="00FB21A6">
                              <w:rPr>
                                <w:rFonts w:ascii="Arial" w:hAnsi="Arial" w:cs="Arial"/>
                              </w:rPr>
                              <w:t>Exhibit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4.25pt;margin-top:-48.35pt;width:94.65pt;height:24.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" fillcolor="white [3201]" stroked="f" strokeweight=".5pt">
                <v:textbox>
                  <w:txbxContent>
                    <w:p w:rsidR="00FB21A6" w:rsidRPr="00FB21A6" w:rsidRDefault="00FB21A6" w:rsidP="00FB21A6">
                      <w:pPr>
                        <w:jc w:val="center"/>
                        <w:rPr>
                          <w:rFonts w:ascii="Arial" w:hAnsi="Arial" w:cs="Arial"/>
                        </w:rPr>
                      </w:pPr>
                      <w:r w:rsidRPr="00FB21A6">
                        <w:rPr>
                          <w:rFonts w:ascii="Arial" w:hAnsi="Arial" w:cs="Arial"/>
                        </w:rPr>
                        <w:t>Exhibit A</w:t>
                      </w:r>
                    </w:p>
                  </w:txbxContent>
                </v:textbox>
              </v:shape>
            </w:pict>
          </mc:Fallback>
        </mc:AlternateContent>
      </w:r>
    </w:p>
    <w:p w:rsidR="008E3E58" w:rsidRDefault="008E3E58" w:rsidP="00B931E6">
      <w:pPr>
        <w:pStyle w:val="Heading2"/>
        <w:spacing w:before="0" w:after="0" w:line="240" w:lineRule="auto"/>
        <w:jc w:val="center"/>
        <w:rPr>
          <w:rFonts w:ascii="Calibri" w:hAnsi="Calibri"/>
          <w:i w:val="0"/>
        </w:rPr>
      </w:pPr>
    </w:p>
    <w:p w:rsidR="008E3E58" w:rsidRDefault="008E3E58" w:rsidP="00B931E6">
      <w:pPr>
        <w:pStyle w:val="Heading2"/>
        <w:spacing w:before="0" w:after="0" w:line="240" w:lineRule="auto"/>
        <w:jc w:val="center"/>
        <w:rPr>
          <w:rFonts w:ascii="Calibri" w:hAnsi="Calibri"/>
          <w:i w:val="0"/>
        </w:rPr>
      </w:pPr>
    </w:p>
    <w:p w:rsidR="008E3E58" w:rsidRDefault="008E3E58" w:rsidP="00B931E6">
      <w:pPr>
        <w:pStyle w:val="Heading2"/>
        <w:spacing w:before="0" w:after="0" w:line="240" w:lineRule="auto"/>
        <w:jc w:val="center"/>
        <w:rPr>
          <w:rFonts w:ascii="Calibri" w:hAnsi="Calibri"/>
          <w:i w:val="0"/>
        </w:rPr>
      </w:pPr>
    </w:p>
    <w:p w:rsidR="008E3E58" w:rsidRPr="008E3E58" w:rsidRDefault="008E3E58" w:rsidP="008E3E58">
      <w:pPr>
        <w:pStyle w:val="Heading2"/>
        <w:spacing w:before="0" w:after="0" w:line="240" w:lineRule="auto"/>
        <w:jc w:val="center"/>
        <w:rPr>
          <w:rFonts w:ascii="Calibri" w:hAnsi="Calibri"/>
          <w:i w:val="0"/>
        </w:rPr>
      </w:pPr>
    </w:p>
    <w:p w:rsidR="00B931E6" w:rsidRPr="008E3E58" w:rsidRDefault="00B931E6" w:rsidP="008E3E58">
      <w:pPr>
        <w:pStyle w:val="Heading2"/>
        <w:spacing w:before="0" w:after="0" w:line="240" w:lineRule="auto"/>
        <w:jc w:val="center"/>
        <w:rPr>
          <w:rFonts w:ascii="Calibri" w:hAnsi="Calibri"/>
          <w:i w:val="0"/>
        </w:rPr>
      </w:pPr>
      <w:r w:rsidRPr="008E3E58">
        <w:rPr>
          <w:rFonts w:ascii="Calibri" w:hAnsi="Calibri"/>
          <w:i w:val="0"/>
        </w:rPr>
        <w:t xml:space="preserve">Consolidated </w:t>
      </w:r>
      <w:bookmarkStart w:id="0" w:name="_GoBack"/>
      <w:bookmarkEnd w:id="0"/>
      <w:r w:rsidRPr="008E3E58">
        <w:rPr>
          <w:rFonts w:ascii="Calibri" w:hAnsi="Calibri"/>
          <w:i w:val="0"/>
        </w:rPr>
        <w:t>Annual Performance and Evaluation Report (CAPER)</w:t>
      </w:r>
    </w:p>
    <w:p w:rsidR="008E3E58" w:rsidRPr="008E3E58" w:rsidRDefault="008E3E58" w:rsidP="008E3E58">
      <w:pPr>
        <w:jc w:val="center"/>
        <w:rPr>
          <w:b/>
          <w:sz w:val="28"/>
          <w:szCs w:val="28"/>
        </w:rPr>
      </w:pPr>
      <w:r w:rsidRPr="008E3E58">
        <w:rPr>
          <w:b/>
          <w:sz w:val="28"/>
          <w:szCs w:val="28"/>
        </w:rPr>
        <w:t>FY 2016</w:t>
      </w:r>
    </w:p>
    <w:p w:rsidR="00B4265E" w:rsidRDefault="00B4265E" w:rsidP="00B931E6">
      <w:pPr>
        <w:spacing w:after="0" w:line="240" w:lineRule="auto"/>
        <w:rPr>
          <w:b/>
        </w:rPr>
      </w:pPr>
    </w:p>
    <w:p w:rsidR="008E3E58" w:rsidRDefault="008E3E58" w:rsidP="00B931E6">
      <w:pPr>
        <w:spacing w:after="0" w:line="240" w:lineRule="auto"/>
        <w:rPr>
          <w:b/>
        </w:rPr>
      </w:pPr>
    </w:p>
    <w:p w:rsidR="008E3E58" w:rsidRDefault="008E3E58" w:rsidP="00B931E6">
      <w:pPr>
        <w:spacing w:after="0" w:line="240" w:lineRule="auto"/>
        <w:rPr>
          <w:b/>
        </w:rPr>
      </w:pPr>
    </w:p>
    <w:p w:rsidR="008E3E58" w:rsidRDefault="008E3E58" w:rsidP="00B931E6">
      <w:pPr>
        <w:spacing w:after="0" w:line="240" w:lineRule="auto"/>
        <w:rPr>
          <w:b/>
        </w:rPr>
      </w:pPr>
    </w:p>
    <w:p w:rsidR="008E3E58" w:rsidRDefault="008E3E58" w:rsidP="00B931E6">
      <w:pPr>
        <w:spacing w:after="0" w:line="240" w:lineRule="auto"/>
        <w:rPr>
          <w:b/>
        </w:rPr>
      </w:pPr>
    </w:p>
    <w:p w:rsidR="008E3E58" w:rsidRDefault="008E3E58" w:rsidP="00B931E6">
      <w:pPr>
        <w:spacing w:after="0" w:line="240" w:lineRule="auto"/>
        <w:rPr>
          <w:b/>
        </w:rPr>
      </w:pPr>
    </w:p>
    <w:p w:rsidR="008E3E58" w:rsidRDefault="008E3E58" w:rsidP="00B931E6">
      <w:pPr>
        <w:spacing w:after="0" w:line="240" w:lineRule="auto"/>
        <w:rPr>
          <w:b/>
        </w:rPr>
      </w:pPr>
    </w:p>
    <w:p w:rsidR="008E3E58" w:rsidRDefault="008E3E58" w:rsidP="00B931E6">
      <w:pPr>
        <w:spacing w:after="0" w:line="240" w:lineRule="auto"/>
        <w:rPr>
          <w:b/>
        </w:rPr>
      </w:pPr>
    </w:p>
    <w:p w:rsidR="008E3E58" w:rsidRDefault="008E3E58" w:rsidP="00B931E6">
      <w:pPr>
        <w:spacing w:after="0" w:line="240" w:lineRule="auto"/>
        <w:rPr>
          <w:b/>
        </w:rPr>
      </w:pPr>
    </w:p>
    <w:p w:rsidR="008E3E58" w:rsidRDefault="008E3E58" w:rsidP="00B931E6">
      <w:pPr>
        <w:spacing w:after="0" w:line="240" w:lineRule="auto"/>
        <w:rPr>
          <w:b/>
        </w:rPr>
      </w:pPr>
    </w:p>
    <w:p w:rsidR="008E3E58" w:rsidRDefault="008E3E58" w:rsidP="00B931E6">
      <w:pPr>
        <w:spacing w:after="0" w:line="240" w:lineRule="auto"/>
        <w:rPr>
          <w:b/>
        </w:rPr>
      </w:pPr>
    </w:p>
    <w:p w:rsidR="008E3E58" w:rsidRDefault="008E3E58" w:rsidP="00B931E6">
      <w:pPr>
        <w:spacing w:after="0" w:line="240" w:lineRule="auto"/>
        <w:rPr>
          <w:b/>
        </w:rPr>
      </w:pPr>
    </w:p>
    <w:p w:rsidR="008E3E58" w:rsidRDefault="008E3E58" w:rsidP="00B931E6">
      <w:pPr>
        <w:spacing w:after="0" w:line="240" w:lineRule="auto"/>
        <w:rPr>
          <w:b/>
        </w:rPr>
      </w:pPr>
    </w:p>
    <w:p w:rsidR="008E3E58" w:rsidRDefault="008E3E58" w:rsidP="00B931E6">
      <w:pPr>
        <w:spacing w:after="0" w:line="240" w:lineRule="auto"/>
        <w:rPr>
          <w:b/>
        </w:rPr>
      </w:pPr>
    </w:p>
    <w:p w:rsidR="008E3E58" w:rsidRDefault="008E3E58" w:rsidP="00B931E6">
      <w:pPr>
        <w:spacing w:after="0" w:line="240" w:lineRule="auto"/>
        <w:rPr>
          <w:b/>
        </w:rPr>
      </w:pPr>
    </w:p>
    <w:p w:rsidR="008E3E58" w:rsidRDefault="008E3E58" w:rsidP="00B931E6">
      <w:pPr>
        <w:spacing w:after="0" w:line="240" w:lineRule="auto"/>
        <w:rPr>
          <w:b/>
        </w:rPr>
      </w:pPr>
    </w:p>
    <w:p w:rsidR="008E3E58" w:rsidRDefault="008E3E58" w:rsidP="00B931E6">
      <w:pPr>
        <w:spacing w:after="0" w:line="240" w:lineRule="auto"/>
        <w:rPr>
          <w:b/>
        </w:rPr>
      </w:pPr>
    </w:p>
    <w:p w:rsidR="008E3E58" w:rsidRDefault="008E3E58" w:rsidP="00B931E6">
      <w:pPr>
        <w:spacing w:after="0" w:line="240" w:lineRule="auto"/>
        <w:rPr>
          <w:b/>
        </w:rPr>
      </w:pPr>
    </w:p>
    <w:p w:rsidR="008E3E58" w:rsidRDefault="008E3E58" w:rsidP="00B931E6">
      <w:pPr>
        <w:spacing w:after="0" w:line="240" w:lineRule="auto"/>
        <w:rPr>
          <w:b/>
        </w:rPr>
      </w:pPr>
    </w:p>
    <w:p w:rsidR="008E3E58" w:rsidRDefault="008E3E58" w:rsidP="00B931E6">
      <w:pPr>
        <w:spacing w:after="0" w:line="240" w:lineRule="auto"/>
        <w:rPr>
          <w:b/>
        </w:rPr>
      </w:pPr>
    </w:p>
    <w:p w:rsidR="008E3E58" w:rsidRDefault="008E3E58" w:rsidP="00B931E6">
      <w:pPr>
        <w:spacing w:after="0" w:line="240" w:lineRule="auto"/>
        <w:rPr>
          <w:b/>
        </w:rPr>
      </w:pPr>
    </w:p>
    <w:p w:rsidR="008E3E58" w:rsidRDefault="008E3E58" w:rsidP="00B931E6">
      <w:pPr>
        <w:spacing w:after="0" w:line="240" w:lineRule="auto"/>
        <w:rPr>
          <w:b/>
        </w:rPr>
      </w:pPr>
    </w:p>
    <w:p w:rsidR="008E3E58" w:rsidRDefault="008E3E58" w:rsidP="00B931E6">
      <w:pPr>
        <w:spacing w:after="0" w:line="240" w:lineRule="auto"/>
        <w:rPr>
          <w:b/>
        </w:rPr>
      </w:pPr>
    </w:p>
    <w:p w:rsidR="008E3E58" w:rsidRDefault="008E3E58" w:rsidP="00B931E6">
      <w:pPr>
        <w:spacing w:after="0" w:line="240" w:lineRule="auto"/>
        <w:rPr>
          <w:b/>
        </w:rPr>
      </w:pPr>
    </w:p>
    <w:p w:rsidR="008E3E58" w:rsidRDefault="008E3E58" w:rsidP="00B931E6">
      <w:pPr>
        <w:spacing w:after="0" w:line="240" w:lineRule="auto"/>
        <w:rPr>
          <w:b/>
        </w:rPr>
      </w:pPr>
    </w:p>
    <w:p w:rsidR="008E3E58" w:rsidRDefault="008E3E58" w:rsidP="00B931E6">
      <w:pPr>
        <w:spacing w:after="0" w:line="240" w:lineRule="auto"/>
        <w:rPr>
          <w:b/>
        </w:rPr>
      </w:pPr>
    </w:p>
    <w:p w:rsidR="008E3E58" w:rsidRDefault="008E3E58" w:rsidP="00B931E6">
      <w:pPr>
        <w:spacing w:after="0" w:line="240" w:lineRule="auto"/>
        <w:rPr>
          <w:b/>
        </w:rPr>
      </w:pPr>
    </w:p>
    <w:p w:rsidR="008E3E58" w:rsidRDefault="008E3E58" w:rsidP="00B931E6">
      <w:pPr>
        <w:spacing w:after="0" w:line="240" w:lineRule="auto"/>
        <w:rPr>
          <w:b/>
        </w:rPr>
      </w:pPr>
    </w:p>
    <w:p w:rsidR="008E3E58" w:rsidRDefault="008E3E58" w:rsidP="00B931E6">
      <w:pPr>
        <w:spacing w:after="0" w:line="240" w:lineRule="auto"/>
        <w:rPr>
          <w:b/>
        </w:rPr>
      </w:pPr>
    </w:p>
    <w:p w:rsidR="008E3E58" w:rsidRDefault="008E3E58" w:rsidP="00B931E6">
      <w:pPr>
        <w:spacing w:after="0" w:line="240" w:lineRule="auto"/>
        <w:rPr>
          <w:b/>
        </w:rPr>
      </w:pPr>
    </w:p>
    <w:p w:rsidR="008E3E58" w:rsidRDefault="008E3E58" w:rsidP="00B931E6">
      <w:pPr>
        <w:spacing w:after="0" w:line="240" w:lineRule="auto"/>
        <w:rPr>
          <w:b/>
        </w:rPr>
      </w:pPr>
    </w:p>
    <w:p w:rsidR="008E3E58" w:rsidRDefault="008E3E58" w:rsidP="00B931E6">
      <w:pPr>
        <w:spacing w:after="0" w:line="240" w:lineRule="auto"/>
        <w:rPr>
          <w:b/>
        </w:rPr>
      </w:pPr>
    </w:p>
    <w:p w:rsidR="008E3E58" w:rsidRDefault="008E3E58" w:rsidP="00B931E6">
      <w:pPr>
        <w:spacing w:after="0" w:line="240" w:lineRule="auto"/>
        <w:rPr>
          <w:b/>
        </w:rPr>
      </w:pPr>
    </w:p>
    <w:p w:rsidR="008E3E58" w:rsidRDefault="008E3E58" w:rsidP="00B931E6">
      <w:pPr>
        <w:spacing w:after="0" w:line="240" w:lineRule="auto"/>
        <w:rPr>
          <w:b/>
        </w:rPr>
      </w:pPr>
    </w:p>
    <w:p w:rsidR="008E3E58" w:rsidRDefault="008E3E58" w:rsidP="00B931E6">
      <w:pPr>
        <w:spacing w:after="0" w:line="240" w:lineRule="auto"/>
        <w:rPr>
          <w:b/>
        </w:rPr>
      </w:pPr>
    </w:p>
    <w:p w:rsidR="008E3E58" w:rsidRDefault="008E3E58" w:rsidP="00B931E6">
      <w:pPr>
        <w:spacing w:after="0" w:line="240" w:lineRule="auto"/>
        <w:rPr>
          <w:b/>
        </w:rPr>
      </w:pPr>
    </w:p>
    <w:p w:rsidR="008E3E58" w:rsidRDefault="008E3E58" w:rsidP="00B931E6">
      <w:pPr>
        <w:spacing w:after="0" w:line="240" w:lineRule="auto"/>
        <w:rPr>
          <w:b/>
        </w:rPr>
      </w:pPr>
    </w:p>
    <w:p w:rsidR="008E3E58" w:rsidRDefault="008E3E58" w:rsidP="00B931E6">
      <w:pPr>
        <w:spacing w:after="0" w:line="240" w:lineRule="auto"/>
        <w:rPr>
          <w:b/>
        </w:rPr>
      </w:pPr>
    </w:p>
    <w:p w:rsidR="00B4265E" w:rsidRDefault="00B931E6" w:rsidP="00B4265E">
      <w:pPr>
        <w:spacing w:after="0" w:line="240" w:lineRule="auto"/>
        <w:rPr>
          <w:b/>
        </w:rPr>
      </w:pPr>
      <w:r>
        <w:rPr>
          <w:b/>
        </w:rPr>
        <w:lastRenderedPageBreak/>
        <w:t xml:space="preserve">Report </w:t>
      </w:r>
      <w:r w:rsidRPr="009102C2">
        <w:rPr>
          <w:b/>
        </w:rPr>
        <w:t>Summary</w:t>
      </w:r>
      <w:r>
        <w:rPr>
          <w:b/>
        </w:rPr>
        <w:t>:</w:t>
      </w:r>
    </w:p>
    <w:p w:rsidR="008E3E58" w:rsidRDefault="008E3E58" w:rsidP="00B4265E">
      <w:pPr>
        <w:spacing w:after="0" w:line="240" w:lineRule="auto"/>
        <w:rPr>
          <w:b/>
        </w:rPr>
      </w:pPr>
    </w:p>
    <w:p w:rsidR="00B931E6" w:rsidRDefault="00B931E6" w:rsidP="001C203A">
      <w:pPr>
        <w:spacing w:after="0" w:line="240" w:lineRule="auto"/>
      </w:pPr>
      <w:r>
        <w:t>The Consolidated Annual Performance and Evaluation Report (CAPER) is an annual report required by the U.S. Department of Housing and Urban Development (HUD) , in order for the City to continue to receive Community Development Block Grant (CDBG) and HOME Investment Partnership Program (HOME) funding.   The CAPER is a reporting document detailing CDBG and HOME expenditures and accomplishment data within HUD’s required Integrated Disbursement &amp; Information System (IDIS).  The data contained within this report is formatted through HUD’s online reporting system (IDIS).</w:t>
      </w:r>
    </w:p>
    <w:p w:rsidR="00B931E6" w:rsidRDefault="00B931E6" w:rsidP="001C203A">
      <w:pPr>
        <w:spacing w:after="0" w:line="240" w:lineRule="auto"/>
      </w:pPr>
      <w:r>
        <w:t>The City of Columbia met all expenditure and funding commitment requirements in FY 2016 and had significant project accomplishments.  A summary of expenditiures can be seen in the following table:</w:t>
      </w:r>
    </w:p>
    <w:p w:rsidR="001C203A" w:rsidRDefault="001C203A" w:rsidP="001C203A">
      <w:pPr>
        <w:spacing w:after="0" w:line="240" w:lineRule="auto"/>
      </w:pPr>
    </w:p>
    <w:tbl>
      <w:tblPr>
        <w:tblW w:w="10800" w:type="dxa"/>
        <w:tblInd w:w="-612" w:type="dxa"/>
        <w:tblLook w:val="04A0" w:firstRow="1" w:lastRow="0" w:firstColumn="1" w:lastColumn="0" w:noHBand="0" w:noVBand="1"/>
      </w:tblPr>
      <w:tblGrid>
        <w:gridCol w:w="3510"/>
        <w:gridCol w:w="1890"/>
        <w:gridCol w:w="1800"/>
        <w:gridCol w:w="1800"/>
        <w:gridCol w:w="1800"/>
      </w:tblGrid>
      <w:tr w:rsidR="009B2D51" w:rsidRPr="009102C2" w:rsidTr="009B2D51">
        <w:trPr>
          <w:trHeight w:val="300"/>
        </w:trPr>
        <w:tc>
          <w:tcPr>
            <w:tcW w:w="9000" w:type="dxa"/>
            <w:gridSpan w:val="4"/>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9B2D51" w:rsidRPr="009102C2" w:rsidRDefault="009B2D51" w:rsidP="00B931E6">
            <w:pPr>
              <w:spacing w:after="0" w:line="240" w:lineRule="auto"/>
              <w:jc w:val="center"/>
              <w:rPr>
                <w:rFonts w:eastAsia="Times New Roman"/>
                <w:b/>
                <w:bCs/>
                <w:color w:val="000000"/>
              </w:rPr>
            </w:pPr>
            <w:r w:rsidRPr="009102C2">
              <w:rPr>
                <w:rFonts w:eastAsia="Times New Roman"/>
                <w:b/>
                <w:bCs/>
                <w:color w:val="000000"/>
              </w:rPr>
              <w:t>FY 2015 CDBG and HOME Expenditures</w:t>
            </w:r>
          </w:p>
        </w:tc>
        <w:tc>
          <w:tcPr>
            <w:tcW w:w="1800" w:type="dxa"/>
            <w:tcBorders>
              <w:top w:val="single" w:sz="4" w:space="0" w:color="auto"/>
              <w:left w:val="single" w:sz="4" w:space="0" w:color="auto"/>
              <w:bottom w:val="single" w:sz="4" w:space="0" w:color="auto"/>
              <w:right w:val="single" w:sz="4" w:space="0" w:color="000000"/>
            </w:tcBorders>
            <w:shd w:val="clear" w:color="000000" w:fill="D9D9D9"/>
          </w:tcPr>
          <w:p w:rsidR="009B2D51" w:rsidRPr="009102C2" w:rsidRDefault="009B2D51" w:rsidP="00B931E6">
            <w:pPr>
              <w:spacing w:after="0" w:line="240" w:lineRule="auto"/>
              <w:jc w:val="center"/>
              <w:rPr>
                <w:rFonts w:eastAsia="Times New Roman"/>
                <w:b/>
                <w:bCs/>
                <w:color w:val="000000"/>
              </w:rPr>
            </w:pPr>
          </w:p>
        </w:tc>
      </w:tr>
      <w:tr w:rsidR="009B2D51" w:rsidRPr="009102C2" w:rsidTr="009B2D51">
        <w:trPr>
          <w:trHeight w:val="300"/>
        </w:trPr>
        <w:tc>
          <w:tcPr>
            <w:tcW w:w="3510" w:type="dxa"/>
            <w:tcBorders>
              <w:top w:val="nil"/>
              <w:left w:val="single" w:sz="4" w:space="0" w:color="auto"/>
              <w:bottom w:val="single" w:sz="4" w:space="0" w:color="auto"/>
              <w:right w:val="single" w:sz="4" w:space="0" w:color="auto"/>
            </w:tcBorders>
            <w:shd w:val="clear" w:color="000000" w:fill="D9D9D9"/>
            <w:noWrap/>
            <w:vAlign w:val="bottom"/>
            <w:hideMark/>
          </w:tcPr>
          <w:p w:rsidR="009B2D51" w:rsidRPr="009C2002" w:rsidRDefault="009B2D51" w:rsidP="00B931E6">
            <w:pPr>
              <w:spacing w:after="0" w:line="240" w:lineRule="auto"/>
              <w:jc w:val="center"/>
              <w:rPr>
                <w:rFonts w:eastAsia="Times New Roman"/>
                <w:b/>
                <w:color w:val="000000"/>
              </w:rPr>
            </w:pPr>
            <w:r w:rsidRPr="009C2002">
              <w:rPr>
                <w:rFonts w:eastAsia="Times New Roman"/>
                <w:b/>
                <w:color w:val="000000"/>
              </w:rPr>
              <w:t> </w:t>
            </w:r>
          </w:p>
        </w:tc>
        <w:tc>
          <w:tcPr>
            <w:tcW w:w="1890" w:type="dxa"/>
            <w:tcBorders>
              <w:top w:val="nil"/>
              <w:left w:val="nil"/>
              <w:bottom w:val="single" w:sz="4" w:space="0" w:color="auto"/>
              <w:right w:val="single" w:sz="4" w:space="0" w:color="auto"/>
            </w:tcBorders>
            <w:shd w:val="clear" w:color="000000" w:fill="D9D9D9"/>
            <w:noWrap/>
            <w:vAlign w:val="bottom"/>
            <w:hideMark/>
          </w:tcPr>
          <w:p w:rsidR="009B2D51" w:rsidRPr="009C2002" w:rsidRDefault="009B2D51" w:rsidP="00B931E6">
            <w:pPr>
              <w:spacing w:after="0" w:line="240" w:lineRule="auto"/>
              <w:jc w:val="center"/>
              <w:rPr>
                <w:rFonts w:eastAsia="Times New Roman"/>
                <w:b/>
                <w:color w:val="000000"/>
              </w:rPr>
            </w:pPr>
            <w:r w:rsidRPr="009C2002">
              <w:rPr>
                <w:rFonts w:eastAsia="Times New Roman"/>
                <w:b/>
                <w:color w:val="000000"/>
              </w:rPr>
              <w:t>CDBG</w:t>
            </w:r>
          </w:p>
        </w:tc>
        <w:tc>
          <w:tcPr>
            <w:tcW w:w="1800" w:type="dxa"/>
            <w:tcBorders>
              <w:top w:val="nil"/>
              <w:left w:val="nil"/>
              <w:bottom w:val="single" w:sz="4" w:space="0" w:color="auto"/>
              <w:right w:val="single" w:sz="4" w:space="0" w:color="auto"/>
            </w:tcBorders>
            <w:shd w:val="clear" w:color="000000" w:fill="D9D9D9"/>
            <w:noWrap/>
            <w:vAlign w:val="bottom"/>
            <w:hideMark/>
          </w:tcPr>
          <w:p w:rsidR="009B2D51" w:rsidRPr="009C2002" w:rsidRDefault="009B2D51" w:rsidP="00B931E6">
            <w:pPr>
              <w:spacing w:after="0" w:line="240" w:lineRule="auto"/>
              <w:jc w:val="center"/>
              <w:rPr>
                <w:rFonts w:eastAsia="Times New Roman"/>
                <w:b/>
                <w:color w:val="000000"/>
              </w:rPr>
            </w:pPr>
            <w:r w:rsidRPr="009C2002">
              <w:rPr>
                <w:rFonts w:eastAsia="Times New Roman"/>
                <w:b/>
                <w:color w:val="000000"/>
              </w:rPr>
              <w:t>HOME</w:t>
            </w:r>
          </w:p>
        </w:tc>
        <w:tc>
          <w:tcPr>
            <w:tcW w:w="1800" w:type="dxa"/>
            <w:tcBorders>
              <w:top w:val="nil"/>
              <w:left w:val="nil"/>
              <w:bottom w:val="single" w:sz="4" w:space="0" w:color="auto"/>
              <w:right w:val="single" w:sz="4" w:space="0" w:color="auto"/>
            </w:tcBorders>
            <w:shd w:val="clear" w:color="000000" w:fill="D9D9D9"/>
          </w:tcPr>
          <w:p w:rsidR="009B2D51" w:rsidRPr="009C2002" w:rsidRDefault="009B2D51" w:rsidP="00B931E6">
            <w:pPr>
              <w:spacing w:after="0" w:line="240" w:lineRule="auto"/>
              <w:jc w:val="center"/>
              <w:rPr>
                <w:rFonts w:eastAsia="Times New Roman"/>
                <w:b/>
                <w:color w:val="000000"/>
              </w:rPr>
            </w:pPr>
            <w:r>
              <w:rPr>
                <w:rFonts w:eastAsia="Times New Roman"/>
                <w:b/>
                <w:color w:val="000000"/>
              </w:rPr>
              <w:t>Local City Funds</w:t>
            </w:r>
          </w:p>
        </w:tc>
        <w:tc>
          <w:tcPr>
            <w:tcW w:w="1800" w:type="dxa"/>
            <w:tcBorders>
              <w:top w:val="nil"/>
              <w:left w:val="nil"/>
              <w:bottom w:val="single" w:sz="4" w:space="0" w:color="auto"/>
              <w:right w:val="single" w:sz="4" w:space="0" w:color="auto"/>
            </w:tcBorders>
            <w:shd w:val="clear" w:color="000000" w:fill="D9D9D9"/>
          </w:tcPr>
          <w:p w:rsidR="009B2D51" w:rsidRDefault="009B2D51" w:rsidP="00B931E6">
            <w:pPr>
              <w:spacing w:after="0" w:line="240" w:lineRule="auto"/>
              <w:jc w:val="center"/>
              <w:rPr>
                <w:rFonts w:eastAsia="Times New Roman"/>
                <w:b/>
                <w:color w:val="000000"/>
              </w:rPr>
            </w:pPr>
            <w:r>
              <w:rPr>
                <w:rFonts w:eastAsia="Times New Roman"/>
                <w:b/>
                <w:color w:val="000000"/>
              </w:rPr>
              <w:t>Total</w:t>
            </w:r>
          </w:p>
        </w:tc>
      </w:tr>
      <w:tr w:rsidR="009B2D51" w:rsidRPr="009102C2" w:rsidTr="009B2D51">
        <w:trPr>
          <w:trHeight w:val="300"/>
        </w:trPr>
        <w:tc>
          <w:tcPr>
            <w:tcW w:w="3510" w:type="dxa"/>
            <w:tcBorders>
              <w:top w:val="nil"/>
              <w:left w:val="single" w:sz="4" w:space="0" w:color="auto"/>
              <w:bottom w:val="single" w:sz="4" w:space="0" w:color="auto"/>
              <w:right w:val="single" w:sz="4" w:space="0" w:color="auto"/>
            </w:tcBorders>
            <w:shd w:val="clear" w:color="000000" w:fill="D9D9D9"/>
            <w:noWrap/>
            <w:vAlign w:val="bottom"/>
            <w:hideMark/>
          </w:tcPr>
          <w:p w:rsidR="009B2D51" w:rsidRPr="009102C2" w:rsidRDefault="009B2D51" w:rsidP="00B931E6">
            <w:pPr>
              <w:spacing w:after="0" w:line="240" w:lineRule="auto"/>
              <w:rPr>
                <w:rFonts w:eastAsia="Times New Roman"/>
                <w:color w:val="000000"/>
              </w:rPr>
            </w:pPr>
            <w:r w:rsidRPr="009102C2">
              <w:rPr>
                <w:rFonts w:eastAsia="Times New Roman"/>
                <w:color w:val="000000"/>
              </w:rPr>
              <w:t>Administration</w:t>
            </w:r>
          </w:p>
        </w:tc>
        <w:tc>
          <w:tcPr>
            <w:tcW w:w="1890" w:type="dxa"/>
            <w:tcBorders>
              <w:top w:val="nil"/>
              <w:left w:val="nil"/>
              <w:bottom w:val="single" w:sz="4" w:space="0" w:color="auto"/>
              <w:right w:val="single" w:sz="4" w:space="0" w:color="auto"/>
            </w:tcBorders>
            <w:shd w:val="clear" w:color="auto" w:fill="auto"/>
            <w:noWrap/>
            <w:vAlign w:val="bottom"/>
            <w:hideMark/>
          </w:tcPr>
          <w:p w:rsidR="009B2D51" w:rsidRPr="009102C2" w:rsidRDefault="009B2D51" w:rsidP="009B2D51">
            <w:pPr>
              <w:spacing w:after="0" w:line="240" w:lineRule="auto"/>
              <w:rPr>
                <w:rFonts w:eastAsia="Times New Roman"/>
                <w:color w:val="000000"/>
              </w:rPr>
            </w:pPr>
            <w:r>
              <w:rPr>
                <w:rFonts w:eastAsia="Times New Roman"/>
                <w:color w:val="000000"/>
              </w:rPr>
              <w:t xml:space="preserve"> $          117,410.31</w:t>
            </w:r>
            <w:r w:rsidRPr="009102C2">
              <w:rPr>
                <w:rFonts w:eastAsia="Times New Roman"/>
                <w:color w:val="000000"/>
              </w:rPr>
              <w:t xml:space="preserve"> </w:t>
            </w:r>
          </w:p>
        </w:tc>
        <w:tc>
          <w:tcPr>
            <w:tcW w:w="1800" w:type="dxa"/>
            <w:tcBorders>
              <w:top w:val="nil"/>
              <w:left w:val="nil"/>
              <w:bottom w:val="single" w:sz="4" w:space="0" w:color="auto"/>
              <w:right w:val="single" w:sz="4" w:space="0" w:color="auto"/>
            </w:tcBorders>
            <w:shd w:val="clear" w:color="auto" w:fill="auto"/>
            <w:noWrap/>
            <w:vAlign w:val="bottom"/>
            <w:hideMark/>
          </w:tcPr>
          <w:p w:rsidR="009B2D51" w:rsidRPr="009102C2" w:rsidRDefault="009B2D51" w:rsidP="009B2D51">
            <w:pPr>
              <w:spacing w:after="0" w:line="240" w:lineRule="auto"/>
              <w:rPr>
                <w:rFonts w:eastAsia="Times New Roman"/>
                <w:color w:val="000000"/>
              </w:rPr>
            </w:pPr>
            <w:r w:rsidRPr="009102C2">
              <w:rPr>
                <w:rFonts w:eastAsia="Times New Roman"/>
                <w:color w:val="000000"/>
              </w:rPr>
              <w:t xml:space="preserve">$      </w:t>
            </w:r>
            <w:r>
              <w:rPr>
                <w:rFonts w:eastAsia="Times New Roman"/>
                <w:color w:val="000000"/>
              </w:rPr>
              <w:t xml:space="preserve"> </w:t>
            </w:r>
            <w:r w:rsidRPr="009102C2">
              <w:rPr>
                <w:rFonts w:eastAsia="Times New Roman"/>
                <w:color w:val="000000"/>
              </w:rPr>
              <w:t xml:space="preserve">    </w:t>
            </w:r>
            <w:r>
              <w:rPr>
                <w:rFonts w:eastAsia="Times New Roman"/>
                <w:color w:val="000000"/>
              </w:rPr>
              <w:t>29</w:t>
            </w:r>
            <w:r w:rsidRPr="009102C2">
              <w:rPr>
                <w:rFonts w:eastAsia="Times New Roman"/>
                <w:color w:val="000000"/>
              </w:rPr>
              <w:t>,</w:t>
            </w:r>
            <w:r>
              <w:rPr>
                <w:rFonts w:eastAsia="Times New Roman"/>
                <w:color w:val="000000"/>
              </w:rPr>
              <w:t>2</w:t>
            </w:r>
            <w:r w:rsidRPr="009102C2">
              <w:rPr>
                <w:rFonts w:eastAsia="Times New Roman"/>
                <w:color w:val="000000"/>
              </w:rPr>
              <w:t>72.</w:t>
            </w:r>
            <w:r>
              <w:rPr>
                <w:rFonts w:eastAsia="Times New Roman"/>
                <w:color w:val="000000"/>
              </w:rPr>
              <w:t>75</w:t>
            </w:r>
            <w:r w:rsidRPr="009102C2">
              <w:rPr>
                <w:rFonts w:eastAsia="Times New Roman"/>
                <w:color w:val="000000"/>
              </w:rPr>
              <w:t xml:space="preserve"> </w:t>
            </w:r>
          </w:p>
        </w:tc>
        <w:tc>
          <w:tcPr>
            <w:tcW w:w="1800" w:type="dxa"/>
            <w:tcBorders>
              <w:top w:val="nil"/>
              <w:left w:val="nil"/>
              <w:bottom w:val="single" w:sz="4" w:space="0" w:color="auto"/>
              <w:right w:val="single" w:sz="4" w:space="0" w:color="auto"/>
            </w:tcBorders>
          </w:tcPr>
          <w:p w:rsidR="009B2D51" w:rsidRPr="009102C2" w:rsidRDefault="009B2D51" w:rsidP="00B931E6">
            <w:pPr>
              <w:spacing w:after="0" w:line="240" w:lineRule="auto"/>
              <w:rPr>
                <w:rFonts w:eastAsia="Times New Roman"/>
                <w:color w:val="000000"/>
              </w:rPr>
            </w:pPr>
          </w:p>
        </w:tc>
        <w:tc>
          <w:tcPr>
            <w:tcW w:w="1800" w:type="dxa"/>
            <w:vMerge w:val="restart"/>
            <w:tcBorders>
              <w:top w:val="single" w:sz="4" w:space="0" w:color="auto"/>
              <w:left w:val="nil"/>
              <w:bottom w:val="single" w:sz="4" w:space="0" w:color="auto"/>
              <w:right w:val="single" w:sz="4" w:space="0" w:color="auto"/>
            </w:tcBorders>
            <w:shd w:val="pct15" w:color="auto" w:fill="auto"/>
          </w:tcPr>
          <w:p w:rsidR="009B2D51" w:rsidRPr="009102C2" w:rsidRDefault="009B2D51" w:rsidP="00B931E6">
            <w:pPr>
              <w:spacing w:after="0" w:line="240" w:lineRule="auto"/>
              <w:rPr>
                <w:rFonts w:eastAsia="Times New Roman"/>
                <w:color w:val="000000"/>
              </w:rPr>
            </w:pPr>
          </w:p>
        </w:tc>
      </w:tr>
      <w:tr w:rsidR="009B2D51" w:rsidRPr="009102C2" w:rsidTr="009B2D51">
        <w:trPr>
          <w:trHeight w:val="300"/>
        </w:trPr>
        <w:tc>
          <w:tcPr>
            <w:tcW w:w="3510" w:type="dxa"/>
            <w:tcBorders>
              <w:top w:val="nil"/>
              <w:left w:val="single" w:sz="4" w:space="0" w:color="auto"/>
              <w:bottom w:val="single" w:sz="4" w:space="0" w:color="auto"/>
              <w:right w:val="single" w:sz="4" w:space="0" w:color="auto"/>
            </w:tcBorders>
            <w:shd w:val="clear" w:color="000000" w:fill="D9D9D9"/>
            <w:noWrap/>
            <w:vAlign w:val="bottom"/>
            <w:hideMark/>
          </w:tcPr>
          <w:p w:rsidR="009B2D51" w:rsidRPr="009102C2" w:rsidRDefault="009B2D51" w:rsidP="00B931E6">
            <w:pPr>
              <w:spacing w:after="0" w:line="240" w:lineRule="auto"/>
              <w:rPr>
                <w:rFonts w:eastAsia="Times New Roman"/>
                <w:color w:val="000000"/>
              </w:rPr>
            </w:pPr>
            <w:r w:rsidRPr="009102C2">
              <w:rPr>
                <w:rFonts w:eastAsia="Times New Roman"/>
                <w:color w:val="000000"/>
              </w:rPr>
              <w:t>Planning</w:t>
            </w:r>
          </w:p>
        </w:tc>
        <w:tc>
          <w:tcPr>
            <w:tcW w:w="1890" w:type="dxa"/>
            <w:tcBorders>
              <w:top w:val="nil"/>
              <w:left w:val="nil"/>
              <w:bottom w:val="single" w:sz="4" w:space="0" w:color="auto"/>
              <w:right w:val="single" w:sz="4" w:space="0" w:color="auto"/>
            </w:tcBorders>
            <w:shd w:val="clear" w:color="auto" w:fill="auto"/>
            <w:noWrap/>
            <w:vAlign w:val="bottom"/>
            <w:hideMark/>
          </w:tcPr>
          <w:p w:rsidR="009B2D51" w:rsidRPr="009102C2" w:rsidRDefault="009B2D51" w:rsidP="009B2D51">
            <w:pPr>
              <w:spacing w:after="0" w:line="240" w:lineRule="auto"/>
              <w:rPr>
                <w:rFonts w:eastAsia="Times New Roman"/>
                <w:color w:val="000000"/>
              </w:rPr>
            </w:pPr>
            <w:r w:rsidRPr="009102C2">
              <w:rPr>
                <w:rFonts w:eastAsia="Times New Roman"/>
                <w:color w:val="000000"/>
              </w:rPr>
              <w:t xml:space="preserve"> $</w:t>
            </w:r>
            <w:r>
              <w:rPr>
                <w:rFonts w:eastAsia="Times New Roman"/>
                <w:color w:val="000000"/>
              </w:rPr>
              <w:t xml:space="preserve">            20,945.36</w:t>
            </w:r>
            <w:r w:rsidRPr="009102C2">
              <w:rPr>
                <w:rFonts w:eastAsia="Times New Roman"/>
                <w:color w:val="000000"/>
              </w:rPr>
              <w:t xml:space="preserve"> </w:t>
            </w:r>
          </w:p>
        </w:tc>
        <w:tc>
          <w:tcPr>
            <w:tcW w:w="1800" w:type="dxa"/>
            <w:tcBorders>
              <w:top w:val="nil"/>
              <w:left w:val="nil"/>
              <w:bottom w:val="single" w:sz="4" w:space="0" w:color="auto"/>
              <w:right w:val="single" w:sz="4" w:space="0" w:color="auto"/>
            </w:tcBorders>
            <w:shd w:val="clear" w:color="auto" w:fill="auto"/>
            <w:noWrap/>
            <w:vAlign w:val="bottom"/>
            <w:hideMark/>
          </w:tcPr>
          <w:p w:rsidR="009B2D51" w:rsidRPr="009102C2" w:rsidRDefault="009B2D51" w:rsidP="00B931E6">
            <w:pPr>
              <w:spacing w:after="0" w:line="240" w:lineRule="auto"/>
              <w:rPr>
                <w:rFonts w:eastAsia="Times New Roman"/>
                <w:color w:val="000000"/>
              </w:rPr>
            </w:pPr>
            <w:r w:rsidRPr="009102C2">
              <w:rPr>
                <w:rFonts w:eastAsia="Times New Roman"/>
                <w:color w:val="000000"/>
              </w:rPr>
              <w:t> </w:t>
            </w:r>
          </w:p>
        </w:tc>
        <w:tc>
          <w:tcPr>
            <w:tcW w:w="1800" w:type="dxa"/>
            <w:tcBorders>
              <w:top w:val="nil"/>
              <w:left w:val="nil"/>
              <w:bottom w:val="single" w:sz="4" w:space="0" w:color="auto"/>
              <w:right w:val="single" w:sz="4" w:space="0" w:color="auto"/>
            </w:tcBorders>
          </w:tcPr>
          <w:p w:rsidR="009B2D51" w:rsidRPr="009102C2" w:rsidRDefault="009B2D51" w:rsidP="00B931E6">
            <w:pPr>
              <w:spacing w:after="0" w:line="240" w:lineRule="auto"/>
              <w:rPr>
                <w:rFonts w:eastAsia="Times New Roman"/>
                <w:color w:val="000000"/>
              </w:rPr>
            </w:pPr>
          </w:p>
        </w:tc>
        <w:tc>
          <w:tcPr>
            <w:tcW w:w="1800" w:type="dxa"/>
            <w:vMerge/>
            <w:tcBorders>
              <w:left w:val="nil"/>
              <w:bottom w:val="single" w:sz="4" w:space="0" w:color="auto"/>
              <w:right w:val="single" w:sz="4" w:space="0" w:color="auto"/>
            </w:tcBorders>
            <w:shd w:val="pct15" w:color="auto" w:fill="auto"/>
          </w:tcPr>
          <w:p w:rsidR="009B2D51" w:rsidRPr="009102C2" w:rsidRDefault="009B2D51" w:rsidP="00B931E6">
            <w:pPr>
              <w:spacing w:after="0" w:line="240" w:lineRule="auto"/>
              <w:rPr>
                <w:rFonts w:eastAsia="Times New Roman"/>
                <w:color w:val="000000"/>
              </w:rPr>
            </w:pPr>
          </w:p>
        </w:tc>
      </w:tr>
      <w:tr w:rsidR="009B2D51" w:rsidRPr="009102C2" w:rsidTr="009B2D51">
        <w:trPr>
          <w:trHeight w:val="300"/>
        </w:trPr>
        <w:tc>
          <w:tcPr>
            <w:tcW w:w="3510" w:type="dxa"/>
            <w:tcBorders>
              <w:top w:val="nil"/>
              <w:left w:val="single" w:sz="4" w:space="0" w:color="auto"/>
              <w:bottom w:val="single" w:sz="4" w:space="0" w:color="auto"/>
              <w:right w:val="single" w:sz="4" w:space="0" w:color="auto"/>
            </w:tcBorders>
            <w:shd w:val="clear" w:color="000000" w:fill="D9D9D9"/>
            <w:noWrap/>
            <w:vAlign w:val="bottom"/>
          </w:tcPr>
          <w:p w:rsidR="009B2D51" w:rsidRPr="009102C2" w:rsidRDefault="009B2D51" w:rsidP="00B931E6">
            <w:pPr>
              <w:spacing w:after="0" w:line="240" w:lineRule="auto"/>
              <w:rPr>
                <w:rFonts w:eastAsia="Times New Roman"/>
                <w:color w:val="000000"/>
              </w:rPr>
            </w:pPr>
            <w:r>
              <w:rPr>
                <w:rFonts w:eastAsia="Times New Roman"/>
                <w:color w:val="000000"/>
              </w:rPr>
              <w:t>CLT Planning and Feasibility</w:t>
            </w:r>
          </w:p>
        </w:tc>
        <w:tc>
          <w:tcPr>
            <w:tcW w:w="1890" w:type="dxa"/>
            <w:tcBorders>
              <w:top w:val="nil"/>
              <w:left w:val="nil"/>
              <w:bottom w:val="single" w:sz="4" w:space="0" w:color="auto"/>
              <w:right w:val="single" w:sz="4" w:space="0" w:color="auto"/>
            </w:tcBorders>
            <w:shd w:val="clear" w:color="auto" w:fill="auto"/>
            <w:noWrap/>
            <w:vAlign w:val="bottom"/>
          </w:tcPr>
          <w:p w:rsidR="009B2D51" w:rsidRPr="009102C2" w:rsidRDefault="009B2D51" w:rsidP="00A35DC2">
            <w:pPr>
              <w:spacing w:after="0" w:line="240" w:lineRule="auto"/>
              <w:rPr>
                <w:rFonts w:eastAsia="Times New Roman"/>
                <w:color w:val="000000"/>
              </w:rPr>
            </w:pPr>
          </w:p>
        </w:tc>
        <w:tc>
          <w:tcPr>
            <w:tcW w:w="1800" w:type="dxa"/>
            <w:tcBorders>
              <w:top w:val="nil"/>
              <w:left w:val="nil"/>
              <w:bottom w:val="single" w:sz="4" w:space="0" w:color="auto"/>
              <w:right w:val="single" w:sz="4" w:space="0" w:color="auto"/>
            </w:tcBorders>
            <w:shd w:val="clear" w:color="auto" w:fill="auto"/>
            <w:noWrap/>
            <w:vAlign w:val="bottom"/>
          </w:tcPr>
          <w:p w:rsidR="009B2D51" w:rsidRPr="009102C2" w:rsidRDefault="009B2D51" w:rsidP="00A35DC2">
            <w:pPr>
              <w:spacing w:after="0" w:line="240" w:lineRule="auto"/>
              <w:rPr>
                <w:rFonts w:eastAsia="Times New Roman"/>
                <w:color w:val="000000"/>
              </w:rPr>
            </w:pPr>
          </w:p>
        </w:tc>
        <w:tc>
          <w:tcPr>
            <w:tcW w:w="1800" w:type="dxa"/>
            <w:tcBorders>
              <w:top w:val="nil"/>
              <w:left w:val="nil"/>
              <w:bottom w:val="single" w:sz="4" w:space="0" w:color="auto"/>
              <w:right w:val="single" w:sz="4" w:space="0" w:color="auto"/>
            </w:tcBorders>
          </w:tcPr>
          <w:p w:rsidR="009B2D51" w:rsidRPr="009102C2" w:rsidRDefault="009B2D51" w:rsidP="009B2D51">
            <w:pPr>
              <w:spacing w:after="0" w:line="240" w:lineRule="auto"/>
              <w:rPr>
                <w:rFonts w:eastAsia="Times New Roman"/>
                <w:color w:val="000000"/>
              </w:rPr>
            </w:pPr>
            <w:r>
              <w:rPr>
                <w:rFonts w:eastAsia="Times New Roman"/>
                <w:color w:val="000000"/>
              </w:rPr>
              <w:t>$           11,561.96</w:t>
            </w:r>
          </w:p>
        </w:tc>
        <w:tc>
          <w:tcPr>
            <w:tcW w:w="1800" w:type="dxa"/>
            <w:vMerge/>
            <w:tcBorders>
              <w:left w:val="nil"/>
              <w:bottom w:val="single" w:sz="4" w:space="0" w:color="auto"/>
              <w:right w:val="single" w:sz="4" w:space="0" w:color="auto"/>
            </w:tcBorders>
            <w:shd w:val="pct15" w:color="auto" w:fill="auto"/>
          </w:tcPr>
          <w:p w:rsidR="009B2D51" w:rsidRDefault="009B2D51" w:rsidP="00B931E6">
            <w:pPr>
              <w:spacing w:after="0" w:line="240" w:lineRule="auto"/>
              <w:rPr>
                <w:rFonts w:eastAsia="Times New Roman"/>
                <w:color w:val="000000"/>
              </w:rPr>
            </w:pPr>
          </w:p>
        </w:tc>
      </w:tr>
      <w:tr w:rsidR="009B2D51" w:rsidRPr="009102C2" w:rsidTr="009B2D51">
        <w:trPr>
          <w:trHeight w:val="300"/>
        </w:trPr>
        <w:tc>
          <w:tcPr>
            <w:tcW w:w="3510" w:type="dxa"/>
            <w:tcBorders>
              <w:top w:val="nil"/>
              <w:left w:val="single" w:sz="4" w:space="0" w:color="auto"/>
              <w:bottom w:val="single" w:sz="4" w:space="0" w:color="auto"/>
              <w:right w:val="single" w:sz="4" w:space="0" w:color="auto"/>
            </w:tcBorders>
            <w:shd w:val="clear" w:color="000000" w:fill="D9D9D9"/>
            <w:noWrap/>
            <w:vAlign w:val="bottom"/>
            <w:hideMark/>
          </w:tcPr>
          <w:p w:rsidR="009B2D51" w:rsidRPr="009102C2" w:rsidRDefault="009B2D51" w:rsidP="00B931E6">
            <w:pPr>
              <w:spacing w:after="0" w:line="240" w:lineRule="auto"/>
              <w:rPr>
                <w:rFonts w:eastAsia="Times New Roman"/>
                <w:color w:val="000000"/>
              </w:rPr>
            </w:pPr>
            <w:r w:rsidRPr="009102C2">
              <w:rPr>
                <w:rFonts w:eastAsia="Times New Roman"/>
                <w:color w:val="000000"/>
              </w:rPr>
              <w:t>Housing Rehab</w:t>
            </w:r>
          </w:p>
        </w:tc>
        <w:tc>
          <w:tcPr>
            <w:tcW w:w="1890" w:type="dxa"/>
            <w:tcBorders>
              <w:top w:val="nil"/>
              <w:left w:val="nil"/>
              <w:bottom w:val="single" w:sz="4" w:space="0" w:color="auto"/>
              <w:right w:val="single" w:sz="4" w:space="0" w:color="auto"/>
            </w:tcBorders>
            <w:shd w:val="clear" w:color="auto" w:fill="auto"/>
            <w:noWrap/>
            <w:vAlign w:val="bottom"/>
            <w:hideMark/>
          </w:tcPr>
          <w:p w:rsidR="009B2D51" w:rsidRPr="009102C2" w:rsidRDefault="009B2D51" w:rsidP="009B2D51">
            <w:pPr>
              <w:spacing w:after="0" w:line="240" w:lineRule="auto"/>
              <w:rPr>
                <w:rFonts w:eastAsia="Times New Roman"/>
                <w:color w:val="000000"/>
              </w:rPr>
            </w:pPr>
            <w:r w:rsidRPr="009102C2">
              <w:rPr>
                <w:rFonts w:eastAsia="Times New Roman"/>
                <w:color w:val="000000"/>
              </w:rPr>
              <w:t xml:space="preserve"> $          </w:t>
            </w:r>
            <w:r>
              <w:rPr>
                <w:rFonts w:eastAsia="Times New Roman"/>
                <w:color w:val="000000"/>
              </w:rPr>
              <w:t>297</w:t>
            </w:r>
            <w:r w:rsidRPr="009102C2">
              <w:rPr>
                <w:rFonts w:eastAsia="Times New Roman"/>
                <w:color w:val="000000"/>
              </w:rPr>
              <w:t>,</w:t>
            </w:r>
            <w:r>
              <w:rPr>
                <w:rFonts w:eastAsia="Times New Roman"/>
                <w:color w:val="000000"/>
              </w:rPr>
              <w:t>129.76</w:t>
            </w:r>
            <w:r w:rsidRPr="009102C2">
              <w:rPr>
                <w:rFonts w:eastAsia="Times New Roman"/>
                <w:color w:val="000000"/>
              </w:rPr>
              <w:t xml:space="preserve"> </w:t>
            </w:r>
          </w:p>
        </w:tc>
        <w:tc>
          <w:tcPr>
            <w:tcW w:w="1800" w:type="dxa"/>
            <w:tcBorders>
              <w:top w:val="nil"/>
              <w:left w:val="nil"/>
              <w:bottom w:val="single" w:sz="4" w:space="0" w:color="auto"/>
              <w:right w:val="single" w:sz="4" w:space="0" w:color="auto"/>
            </w:tcBorders>
            <w:shd w:val="clear" w:color="auto" w:fill="auto"/>
            <w:noWrap/>
            <w:vAlign w:val="bottom"/>
            <w:hideMark/>
          </w:tcPr>
          <w:p w:rsidR="009B2D51" w:rsidRPr="009102C2" w:rsidRDefault="009B2D51" w:rsidP="009B2D51">
            <w:pPr>
              <w:spacing w:after="0" w:line="240" w:lineRule="auto"/>
              <w:rPr>
                <w:rFonts w:eastAsia="Times New Roman"/>
                <w:color w:val="000000"/>
              </w:rPr>
            </w:pPr>
            <w:r w:rsidRPr="009102C2">
              <w:rPr>
                <w:rFonts w:eastAsia="Times New Roman"/>
                <w:color w:val="000000"/>
              </w:rPr>
              <w:t>$</w:t>
            </w:r>
            <w:r>
              <w:rPr>
                <w:rFonts w:eastAsia="Times New Roman"/>
                <w:color w:val="000000"/>
              </w:rPr>
              <w:t xml:space="preserve">           50,594.46</w:t>
            </w:r>
            <w:r w:rsidRPr="009102C2">
              <w:rPr>
                <w:rFonts w:eastAsia="Times New Roman"/>
                <w:color w:val="000000"/>
              </w:rPr>
              <w:t xml:space="preserve"> </w:t>
            </w:r>
          </w:p>
        </w:tc>
        <w:tc>
          <w:tcPr>
            <w:tcW w:w="1800" w:type="dxa"/>
            <w:tcBorders>
              <w:top w:val="nil"/>
              <w:left w:val="nil"/>
              <w:bottom w:val="single" w:sz="4" w:space="0" w:color="auto"/>
              <w:right w:val="single" w:sz="4" w:space="0" w:color="auto"/>
            </w:tcBorders>
          </w:tcPr>
          <w:p w:rsidR="009B2D51" w:rsidRPr="009102C2" w:rsidRDefault="009B2D51" w:rsidP="00B931E6">
            <w:pPr>
              <w:spacing w:after="0" w:line="240" w:lineRule="auto"/>
              <w:rPr>
                <w:rFonts w:eastAsia="Times New Roman"/>
                <w:color w:val="000000"/>
              </w:rPr>
            </w:pPr>
          </w:p>
        </w:tc>
        <w:tc>
          <w:tcPr>
            <w:tcW w:w="1800" w:type="dxa"/>
            <w:vMerge/>
            <w:tcBorders>
              <w:left w:val="nil"/>
              <w:bottom w:val="single" w:sz="4" w:space="0" w:color="auto"/>
              <w:right w:val="single" w:sz="4" w:space="0" w:color="auto"/>
            </w:tcBorders>
            <w:shd w:val="pct15" w:color="auto" w:fill="auto"/>
          </w:tcPr>
          <w:p w:rsidR="009B2D51" w:rsidRPr="009102C2" w:rsidRDefault="009B2D51" w:rsidP="00B931E6">
            <w:pPr>
              <w:spacing w:after="0" w:line="240" w:lineRule="auto"/>
              <w:rPr>
                <w:rFonts w:eastAsia="Times New Roman"/>
                <w:color w:val="000000"/>
              </w:rPr>
            </w:pPr>
          </w:p>
        </w:tc>
      </w:tr>
      <w:tr w:rsidR="009B2D51" w:rsidRPr="009102C2" w:rsidTr="009B2D51">
        <w:trPr>
          <w:trHeight w:val="300"/>
        </w:trPr>
        <w:tc>
          <w:tcPr>
            <w:tcW w:w="3510" w:type="dxa"/>
            <w:tcBorders>
              <w:top w:val="nil"/>
              <w:left w:val="single" w:sz="4" w:space="0" w:color="auto"/>
              <w:bottom w:val="single" w:sz="4" w:space="0" w:color="auto"/>
              <w:right w:val="single" w:sz="4" w:space="0" w:color="auto"/>
            </w:tcBorders>
            <w:shd w:val="clear" w:color="000000" w:fill="D9D9D9"/>
            <w:noWrap/>
            <w:vAlign w:val="bottom"/>
            <w:hideMark/>
          </w:tcPr>
          <w:p w:rsidR="009B2D51" w:rsidRPr="009102C2" w:rsidRDefault="009B2D51" w:rsidP="00B931E6">
            <w:pPr>
              <w:spacing w:after="0" w:line="240" w:lineRule="auto"/>
              <w:rPr>
                <w:rFonts w:eastAsia="Times New Roman"/>
                <w:color w:val="000000"/>
              </w:rPr>
            </w:pPr>
            <w:r w:rsidRPr="009102C2">
              <w:rPr>
                <w:rFonts w:eastAsia="Times New Roman"/>
                <w:color w:val="000000"/>
              </w:rPr>
              <w:t>NRT Code Enforcement</w:t>
            </w:r>
          </w:p>
        </w:tc>
        <w:tc>
          <w:tcPr>
            <w:tcW w:w="1890" w:type="dxa"/>
            <w:tcBorders>
              <w:top w:val="nil"/>
              <w:left w:val="nil"/>
              <w:bottom w:val="single" w:sz="4" w:space="0" w:color="auto"/>
              <w:right w:val="single" w:sz="4" w:space="0" w:color="auto"/>
            </w:tcBorders>
            <w:shd w:val="clear" w:color="auto" w:fill="auto"/>
            <w:noWrap/>
            <w:vAlign w:val="bottom"/>
            <w:hideMark/>
          </w:tcPr>
          <w:p w:rsidR="009B2D51" w:rsidRPr="009102C2" w:rsidRDefault="009B2D51" w:rsidP="009B2D51">
            <w:pPr>
              <w:spacing w:after="0" w:line="240" w:lineRule="auto"/>
              <w:rPr>
                <w:rFonts w:eastAsia="Times New Roman"/>
                <w:color w:val="000000"/>
              </w:rPr>
            </w:pPr>
            <w:r w:rsidRPr="009102C2">
              <w:rPr>
                <w:rFonts w:eastAsia="Times New Roman"/>
                <w:color w:val="000000"/>
              </w:rPr>
              <w:t xml:space="preserve"> $            </w:t>
            </w:r>
            <w:r>
              <w:rPr>
                <w:rFonts w:eastAsia="Times New Roman"/>
                <w:color w:val="000000"/>
              </w:rPr>
              <w:t>19</w:t>
            </w:r>
            <w:r w:rsidRPr="009102C2">
              <w:rPr>
                <w:rFonts w:eastAsia="Times New Roman"/>
                <w:color w:val="000000"/>
              </w:rPr>
              <w:t>,</w:t>
            </w:r>
            <w:r>
              <w:rPr>
                <w:rFonts w:eastAsia="Times New Roman"/>
                <w:color w:val="000000"/>
              </w:rPr>
              <w:t>283.01</w:t>
            </w:r>
            <w:r w:rsidRPr="009102C2">
              <w:rPr>
                <w:rFonts w:eastAsia="Times New Roman"/>
                <w:color w:val="000000"/>
              </w:rPr>
              <w:t xml:space="preserve"> </w:t>
            </w:r>
          </w:p>
        </w:tc>
        <w:tc>
          <w:tcPr>
            <w:tcW w:w="1800" w:type="dxa"/>
            <w:tcBorders>
              <w:top w:val="nil"/>
              <w:left w:val="nil"/>
              <w:bottom w:val="single" w:sz="4" w:space="0" w:color="auto"/>
              <w:right w:val="single" w:sz="4" w:space="0" w:color="auto"/>
            </w:tcBorders>
            <w:shd w:val="clear" w:color="auto" w:fill="auto"/>
            <w:noWrap/>
            <w:vAlign w:val="bottom"/>
            <w:hideMark/>
          </w:tcPr>
          <w:p w:rsidR="009B2D51" w:rsidRPr="009102C2" w:rsidRDefault="009B2D51" w:rsidP="00B931E6">
            <w:pPr>
              <w:spacing w:after="0" w:line="240" w:lineRule="auto"/>
              <w:rPr>
                <w:rFonts w:eastAsia="Times New Roman"/>
                <w:color w:val="000000"/>
              </w:rPr>
            </w:pPr>
            <w:r w:rsidRPr="009102C2">
              <w:rPr>
                <w:rFonts w:eastAsia="Times New Roman"/>
                <w:color w:val="000000"/>
              </w:rPr>
              <w:t> </w:t>
            </w:r>
          </w:p>
        </w:tc>
        <w:tc>
          <w:tcPr>
            <w:tcW w:w="1800" w:type="dxa"/>
            <w:tcBorders>
              <w:top w:val="nil"/>
              <w:left w:val="nil"/>
              <w:bottom w:val="single" w:sz="4" w:space="0" w:color="auto"/>
              <w:right w:val="single" w:sz="4" w:space="0" w:color="auto"/>
            </w:tcBorders>
          </w:tcPr>
          <w:p w:rsidR="009B2D51" w:rsidRPr="009102C2" w:rsidRDefault="009B2D51" w:rsidP="00B931E6">
            <w:pPr>
              <w:spacing w:after="0" w:line="240" w:lineRule="auto"/>
              <w:rPr>
                <w:rFonts w:eastAsia="Times New Roman"/>
                <w:color w:val="000000"/>
              </w:rPr>
            </w:pPr>
          </w:p>
        </w:tc>
        <w:tc>
          <w:tcPr>
            <w:tcW w:w="1800" w:type="dxa"/>
            <w:vMerge/>
            <w:tcBorders>
              <w:left w:val="nil"/>
              <w:bottom w:val="single" w:sz="4" w:space="0" w:color="auto"/>
              <w:right w:val="single" w:sz="4" w:space="0" w:color="auto"/>
            </w:tcBorders>
            <w:shd w:val="pct15" w:color="auto" w:fill="auto"/>
          </w:tcPr>
          <w:p w:rsidR="009B2D51" w:rsidRPr="009102C2" w:rsidRDefault="009B2D51" w:rsidP="00B931E6">
            <w:pPr>
              <w:spacing w:after="0" w:line="240" w:lineRule="auto"/>
              <w:rPr>
                <w:rFonts w:eastAsia="Times New Roman"/>
                <w:color w:val="000000"/>
              </w:rPr>
            </w:pPr>
          </w:p>
        </w:tc>
      </w:tr>
      <w:tr w:rsidR="009B2D51" w:rsidRPr="009102C2" w:rsidTr="009B2D51">
        <w:trPr>
          <w:trHeight w:val="300"/>
        </w:trPr>
        <w:tc>
          <w:tcPr>
            <w:tcW w:w="3510" w:type="dxa"/>
            <w:tcBorders>
              <w:top w:val="nil"/>
              <w:left w:val="single" w:sz="4" w:space="0" w:color="auto"/>
              <w:bottom w:val="single" w:sz="4" w:space="0" w:color="auto"/>
              <w:right w:val="single" w:sz="4" w:space="0" w:color="auto"/>
            </w:tcBorders>
            <w:shd w:val="clear" w:color="000000" w:fill="D9D9D9"/>
            <w:noWrap/>
            <w:vAlign w:val="bottom"/>
            <w:hideMark/>
          </w:tcPr>
          <w:p w:rsidR="009B2D51" w:rsidRPr="009102C2" w:rsidRDefault="009B2D51" w:rsidP="00B931E6">
            <w:pPr>
              <w:spacing w:after="0" w:line="240" w:lineRule="auto"/>
              <w:rPr>
                <w:rFonts w:eastAsia="Times New Roman"/>
                <w:color w:val="000000"/>
              </w:rPr>
            </w:pPr>
            <w:r w:rsidRPr="009102C2">
              <w:rPr>
                <w:rFonts w:eastAsia="Times New Roman"/>
                <w:color w:val="000000"/>
              </w:rPr>
              <w:t>NRT Demolition</w:t>
            </w:r>
          </w:p>
        </w:tc>
        <w:tc>
          <w:tcPr>
            <w:tcW w:w="1890" w:type="dxa"/>
            <w:tcBorders>
              <w:top w:val="nil"/>
              <w:left w:val="nil"/>
              <w:bottom w:val="single" w:sz="4" w:space="0" w:color="auto"/>
              <w:right w:val="single" w:sz="4" w:space="0" w:color="auto"/>
            </w:tcBorders>
            <w:shd w:val="clear" w:color="auto" w:fill="auto"/>
            <w:noWrap/>
            <w:vAlign w:val="bottom"/>
            <w:hideMark/>
          </w:tcPr>
          <w:p w:rsidR="009B2D51" w:rsidRPr="009102C2" w:rsidRDefault="009B2D51" w:rsidP="009B2D51">
            <w:pPr>
              <w:spacing w:after="0" w:line="240" w:lineRule="auto"/>
              <w:rPr>
                <w:rFonts w:eastAsia="Times New Roman"/>
                <w:color w:val="000000"/>
              </w:rPr>
            </w:pPr>
            <w:r w:rsidRPr="009102C2">
              <w:rPr>
                <w:rFonts w:eastAsia="Times New Roman"/>
                <w:color w:val="000000"/>
              </w:rPr>
              <w:t xml:space="preserve"> $            </w:t>
            </w:r>
            <w:r>
              <w:rPr>
                <w:rFonts w:eastAsia="Times New Roman"/>
                <w:color w:val="000000"/>
              </w:rPr>
              <w:t>3</w:t>
            </w:r>
            <w:r w:rsidRPr="009102C2">
              <w:rPr>
                <w:rFonts w:eastAsia="Times New Roman"/>
                <w:color w:val="000000"/>
              </w:rPr>
              <w:t>8,</w:t>
            </w:r>
            <w:r>
              <w:rPr>
                <w:rFonts w:eastAsia="Times New Roman"/>
                <w:color w:val="000000"/>
              </w:rPr>
              <w:t>877.83</w:t>
            </w:r>
            <w:r w:rsidRPr="009102C2">
              <w:rPr>
                <w:rFonts w:eastAsia="Times New Roman"/>
                <w:color w:val="000000"/>
              </w:rPr>
              <w:t xml:space="preserve"> </w:t>
            </w:r>
          </w:p>
        </w:tc>
        <w:tc>
          <w:tcPr>
            <w:tcW w:w="1800" w:type="dxa"/>
            <w:tcBorders>
              <w:top w:val="nil"/>
              <w:left w:val="nil"/>
              <w:bottom w:val="single" w:sz="4" w:space="0" w:color="auto"/>
              <w:right w:val="single" w:sz="4" w:space="0" w:color="auto"/>
            </w:tcBorders>
            <w:shd w:val="clear" w:color="auto" w:fill="auto"/>
            <w:noWrap/>
            <w:vAlign w:val="bottom"/>
            <w:hideMark/>
          </w:tcPr>
          <w:p w:rsidR="009B2D51" w:rsidRPr="009102C2" w:rsidRDefault="009B2D51" w:rsidP="00B931E6">
            <w:pPr>
              <w:spacing w:after="0" w:line="240" w:lineRule="auto"/>
              <w:rPr>
                <w:rFonts w:eastAsia="Times New Roman"/>
                <w:color w:val="000000"/>
              </w:rPr>
            </w:pPr>
            <w:r w:rsidRPr="009102C2">
              <w:rPr>
                <w:rFonts w:eastAsia="Times New Roman"/>
                <w:color w:val="000000"/>
              </w:rPr>
              <w:t> </w:t>
            </w:r>
          </w:p>
        </w:tc>
        <w:tc>
          <w:tcPr>
            <w:tcW w:w="1800" w:type="dxa"/>
            <w:tcBorders>
              <w:top w:val="nil"/>
              <w:left w:val="nil"/>
              <w:bottom w:val="single" w:sz="4" w:space="0" w:color="auto"/>
              <w:right w:val="single" w:sz="4" w:space="0" w:color="auto"/>
            </w:tcBorders>
          </w:tcPr>
          <w:p w:rsidR="009B2D51" w:rsidRPr="009102C2" w:rsidRDefault="009B2D51" w:rsidP="00B931E6">
            <w:pPr>
              <w:spacing w:after="0" w:line="240" w:lineRule="auto"/>
              <w:rPr>
                <w:rFonts w:eastAsia="Times New Roman"/>
                <w:color w:val="000000"/>
              </w:rPr>
            </w:pPr>
          </w:p>
        </w:tc>
        <w:tc>
          <w:tcPr>
            <w:tcW w:w="1800" w:type="dxa"/>
            <w:vMerge/>
            <w:tcBorders>
              <w:left w:val="nil"/>
              <w:bottom w:val="single" w:sz="4" w:space="0" w:color="auto"/>
              <w:right w:val="single" w:sz="4" w:space="0" w:color="auto"/>
            </w:tcBorders>
            <w:shd w:val="pct15" w:color="auto" w:fill="auto"/>
          </w:tcPr>
          <w:p w:rsidR="009B2D51" w:rsidRPr="009102C2" w:rsidRDefault="009B2D51" w:rsidP="00B931E6">
            <w:pPr>
              <w:spacing w:after="0" w:line="240" w:lineRule="auto"/>
              <w:rPr>
                <w:rFonts w:eastAsia="Times New Roman"/>
                <w:color w:val="000000"/>
              </w:rPr>
            </w:pPr>
          </w:p>
        </w:tc>
      </w:tr>
      <w:tr w:rsidR="009B2D51" w:rsidRPr="009102C2" w:rsidTr="009B2D51">
        <w:trPr>
          <w:trHeight w:val="300"/>
        </w:trPr>
        <w:tc>
          <w:tcPr>
            <w:tcW w:w="3510" w:type="dxa"/>
            <w:tcBorders>
              <w:top w:val="nil"/>
              <w:left w:val="single" w:sz="4" w:space="0" w:color="auto"/>
              <w:bottom w:val="single" w:sz="4" w:space="0" w:color="auto"/>
              <w:right w:val="single" w:sz="4" w:space="0" w:color="auto"/>
            </w:tcBorders>
            <w:shd w:val="clear" w:color="000000" w:fill="D9D9D9"/>
            <w:noWrap/>
            <w:vAlign w:val="bottom"/>
          </w:tcPr>
          <w:p w:rsidR="009B2D51" w:rsidRPr="009102C2" w:rsidRDefault="009B2D51" w:rsidP="00B931E6">
            <w:pPr>
              <w:spacing w:after="0" w:line="240" w:lineRule="auto"/>
              <w:rPr>
                <w:rFonts w:eastAsia="Times New Roman"/>
                <w:color w:val="000000"/>
              </w:rPr>
            </w:pPr>
            <w:r>
              <w:rPr>
                <w:rFonts w:eastAsia="Times New Roman"/>
                <w:color w:val="000000"/>
              </w:rPr>
              <w:t>Eletta Blvd.</w:t>
            </w:r>
          </w:p>
        </w:tc>
        <w:tc>
          <w:tcPr>
            <w:tcW w:w="1890" w:type="dxa"/>
            <w:tcBorders>
              <w:top w:val="nil"/>
              <w:left w:val="nil"/>
              <w:bottom w:val="single" w:sz="4" w:space="0" w:color="auto"/>
              <w:right w:val="single" w:sz="4" w:space="0" w:color="auto"/>
            </w:tcBorders>
            <w:shd w:val="clear" w:color="auto" w:fill="auto"/>
            <w:noWrap/>
            <w:vAlign w:val="bottom"/>
          </w:tcPr>
          <w:p w:rsidR="009B2D51" w:rsidRDefault="009B2D51" w:rsidP="009B2D51">
            <w:pPr>
              <w:spacing w:after="0" w:line="240" w:lineRule="auto"/>
              <w:rPr>
                <w:rFonts w:eastAsia="Times New Roman"/>
                <w:color w:val="000000"/>
              </w:rPr>
            </w:pPr>
            <w:r>
              <w:rPr>
                <w:rFonts w:eastAsia="Times New Roman"/>
                <w:color w:val="000000"/>
              </w:rPr>
              <w:t xml:space="preserve"> $            21,699.45</w:t>
            </w:r>
          </w:p>
        </w:tc>
        <w:tc>
          <w:tcPr>
            <w:tcW w:w="1800" w:type="dxa"/>
            <w:tcBorders>
              <w:top w:val="nil"/>
              <w:left w:val="nil"/>
              <w:bottom w:val="single" w:sz="4" w:space="0" w:color="auto"/>
              <w:right w:val="single" w:sz="4" w:space="0" w:color="auto"/>
            </w:tcBorders>
            <w:shd w:val="clear" w:color="auto" w:fill="auto"/>
            <w:noWrap/>
            <w:vAlign w:val="bottom"/>
          </w:tcPr>
          <w:p w:rsidR="009B2D51" w:rsidRPr="009102C2" w:rsidRDefault="009B2D51" w:rsidP="00B931E6">
            <w:pPr>
              <w:spacing w:after="0" w:line="240" w:lineRule="auto"/>
              <w:rPr>
                <w:rFonts w:eastAsia="Times New Roman"/>
                <w:color w:val="000000"/>
              </w:rPr>
            </w:pPr>
          </w:p>
        </w:tc>
        <w:tc>
          <w:tcPr>
            <w:tcW w:w="1800" w:type="dxa"/>
            <w:tcBorders>
              <w:top w:val="nil"/>
              <w:left w:val="nil"/>
              <w:bottom w:val="single" w:sz="4" w:space="0" w:color="auto"/>
              <w:right w:val="single" w:sz="4" w:space="0" w:color="auto"/>
            </w:tcBorders>
          </w:tcPr>
          <w:p w:rsidR="009B2D51" w:rsidRPr="009102C2" w:rsidRDefault="009B2D51" w:rsidP="00B931E6">
            <w:pPr>
              <w:spacing w:after="0" w:line="240" w:lineRule="auto"/>
              <w:rPr>
                <w:rFonts w:eastAsia="Times New Roman"/>
                <w:color w:val="000000"/>
              </w:rPr>
            </w:pPr>
          </w:p>
        </w:tc>
        <w:tc>
          <w:tcPr>
            <w:tcW w:w="1800" w:type="dxa"/>
            <w:vMerge/>
            <w:tcBorders>
              <w:left w:val="nil"/>
              <w:bottom w:val="single" w:sz="4" w:space="0" w:color="auto"/>
              <w:right w:val="single" w:sz="4" w:space="0" w:color="auto"/>
            </w:tcBorders>
            <w:shd w:val="pct15" w:color="auto" w:fill="auto"/>
          </w:tcPr>
          <w:p w:rsidR="009B2D51" w:rsidRPr="009102C2" w:rsidRDefault="009B2D51" w:rsidP="00B931E6">
            <w:pPr>
              <w:spacing w:after="0" w:line="240" w:lineRule="auto"/>
              <w:rPr>
                <w:rFonts w:eastAsia="Times New Roman"/>
                <w:color w:val="000000"/>
              </w:rPr>
            </w:pPr>
          </w:p>
        </w:tc>
      </w:tr>
      <w:tr w:rsidR="009B2D51" w:rsidRPr="009102C2" w:rsidTr="009B2D51">
        <w:trPr>
          <w:trHeight w:val="300"/>
        </w:trPr>
        <w:tc>
          <w:tcPr>
            <w:tcW w:w="3510" w:type="dxa"/>
            <w:tcBorders>
              <w:top w:val="nil"/>
              <w:left w:val="single" w:sz="4" w:space="0" w:color="auto"/>
              <w:bottom w:val="single" w:sz="4" w:space="0" w:color="auto"/>
              <w:right w:val="single" w:sz="4" w:space="0" w:color="auto"/>
            </w:tcBorders>
            <w:shd w:val="clear" w:color="000000" w:fill="D9D9D9"/>
            <w:noWrap/>
            <w:vAlign w:val="bottom"/>
            <w:hideMark/>
          </w:tcPr>
          <w:p w:rsidR="009B2D51" w:rsidRPr="009102C2" w:rsidRDefault="009B2D51" w:rsidP="00B931E6">
            <w:pPr>
              <w:spacing w:after="0" w:line="240" w:lineRule="auto"/>
              <w:rPr>
                <w:rFonts w:eastAsia="Times New Roman"/>
                <w:color w:val="000000"/>
              </w:rPr>
            </w:pPr>
            <w:r w:rsidRPr="009102C2">
              <w:rPr>
                <w:rFonts w:eastAsia="Times New Roman"/>
                <w:color w:val="000000"/>
              </w:rPr>
              <w:t xml:space="preserve">Worley Intersection </w:t>
            </w:r>
          </w:p>
        </w:tc>
        <w:tc>
          <w:tcPr>
            <w:tcW w:w="1890" w:type="dxa"/>
            <w:tcBorders>
              <w:top w:val="nil"/>
              <w:left w:val="nil"/>
              <w:bottom w:val="single" w:sz="4" w:space="0" w:color="auto"/>
              <w:right w:val="single" w:sz="4" w:space="0" w:color="auto"/>
            </w:tcBorders>
            <w:shd w:val="clear" w:color="auto" w:fill="auto"/>
            <w:noWrap/>
            <w:vAlign w:val="bottom"/>
            <w:hideMark/>
          </w:tcPr>
          <w:p w:rsidR="009B2D51" w:rsidRPr="009102C2" w:rsidRDefault="009B2D51" w:rsidP="009B2D51">
            <w:pPr>
              <w:spacing w:after="0" w:line="240" w:lineRule="auto"/>
              <w:rPr>
                <w:rFonts w:eastAsia="Times New Roman"/>
                <w:color w:val="000000"/>
              </w:rPr>
            </w:pPr>
            <w:r>
              <w:rPr>
                <w:rFonts w:eastAsia="Times New Roman"/>
                <w:color w:val="000000"/>
              </w:rPr>
              <w:t xml:space="preserve"> $          135,183.91</w:t>
            </w:r>
            <w:r w:rsidRPr="009102C2">
              <w:rPr>
                <w:rFonts w:eastAsia="Times New Roman"/>
                <w:color w:val="000000"/>
              </w:rPr>
              <w:t xml:space="preserve"> </w:t>
            </w:r>
          </w:p>
        </w:tc>
        <w:tc>
          <w:tcPr>
            <w:tcW w:w="1800" w:type="dxa"/>
            <w:tcBorders>
              <w:top w:val="nil"/>
              <w:left w:val="nil"/>
              <w:bottom w:val="single" w:sz="4" w:space="0" w:color="auto"/>
              <w:right w:val="single" w:sz="4" w:space="0" w:color="auto"/>
            </w:tcBorders>
            <w:shd w:val="clear" w:color="auto" w:fill="auto"/>
            <w:noWrap/>
            <w:vAlign w:val="bottom"/>
            <w:hideMark/>
          </w:tcPr>
          <w:p w:rsidR="009B2D51" w:rsidRPr="009102C2" w:rsidRDefault="009B2D51" w:rsidP="00B931E6">
            <w:pPr>
              <w:spacing w:after="0" w:line="240" w:lineRule="auto"/>
              <w:rPr>
                <w:rFonts w:eastAsia="Times New Roman"/>
                <w:color w:val="000000"/>
              </w:rPr>
            </w:pPr>
            <w:r w:rsidRPr="009102C2">
              <w:rPr>
                <w:rFonts w:eastAsia="Times New Roman"/>
                <w:color w:val="000000"/>
              </w:rPr>
              <w:t> </w:t>
            </w:r>
          </w:p>
        </w:tc>
        <w:tc>
          <w:tcPr>
            <w:tcW w:w="1800" w:type="dxa"/>
            <w:tcBorders>
              <w:top w:val="nil"/>
              <w:left w:val="nil"/>
              <w:bottom w:val="single" w:sz="4" w:space="0" w:color="auto"/>
              <w:right w:val="single" w:sz="4" w:space="0" w:color="auto"/>
            </w:tcBorders>
          </w:tcPr>
          <w:p w:rsidR="009B2D51" w:rsidRPr="009102C2" w:rsidRDefault="009B2D51" w:rsidP="00B931E6">
            <w:pPr>
              <w:spacing w:after="0" w:line="240" w:lineRule="auto"/>
              <w:rPr>
                <w:rFonts w:eastAsia="Times New Roman"/>
                <w:color w:val="000000"/>
              </w:rPr>
            </w:pPr>
          </w:p>
        </w:tc>
        <w:tc>
          <w:tcPr>
            <w:tcW w:w="1800" w:type="dxa"/>
            <w:vMerge/>
            <w:tcBorders>
              <w:left w:val="nil"/>
              <w:bottom w:val="single" w:sz="4" w:space="0" w:color="auto"/>
              <w:right w:val="single" w:sz="4" w:space="0" w:color="auto"/>
            </w:tcBorders>
            <w:shd w:val="pct15" w:color="auto" w:fill="auto"/>
          </w:tcPr>
          <w:p w:rsidR="009B2D51" w:rsidRPr="009102C2" w:rsidRDefault="009B2D51" w:rsidP="00B931E6">
            <w:pPr>
              <w:spacing w:after="0" w:line="240" w:lineRule="auto"/>
              <w:rPr>
                <w:rFonts w:eastAsia="Times New Roman"/>
                <w:color w:val="000000"/>
              </w:rPr>
            </w:pPr>
          </w:p>
        </w:tc>
      </w:tr>
      <w:tr w:rsidR="009B2D51" w:rsidRPr="009102C2" w:rsidTr="009B2D51">
        <w:trPr>
          <w:trHeight w:val="300"/>
        </w:trPr>
        <w:tc>
          <w:tcPr>
            <w:tcW w:w="3510" w:type="dxa"/>
            <w:tcBorders>
              <w:top w:val="nil"/>
              <w:left w:val="single" w:sz="4" w:space="0" w:color="auto"/>
              <w:bottom w:val="single" w:sz="4" w:space="0" w:color="auto"/>
              <w:right w:val="single" w:sz="4" w:space="0" w:color="auto"/>
            </w:tcBorders>
            <w:shd w:val="clear" w:color="000000" w:fill="D9D9D9"/>
            <w:noWrap/>
            <w:vAlign w:val="bottom"/>
            <w:hideMark/>
          </w:tcPr>
          <w:p w:rsidR="009B2D51" w:rsidRPr="009102C2" w:rsidRDefault="009B2D51" w:rsidP="00B931E6">
            <w:pPr>
              <w:spacing w:after="0" w:line="240" w:lineRule="auto"/>
              <w:rPr>
                <w:rFonts w:eastAsia="Times New Roman"/>
                <w:color w:val="000000"/>
              </w:rPr>
            </w:pPr>
            <w:r w:rsidRPr="009102C2">
              <w:rPr>
                <w:rFonts w:eastAsia="Times New Roman"/>
                <w:color w:val="000000"/>
              </w:rPr>
              <w:t>N. Garth Sidewalk</w:t>
            </w:r>
          </w:p>
        </w:tc>
        <w:tc>
          <w:tcPr>
            <w:tcW w:w="1890" w:type="dxa"/>
            <w:tcBorders>
              <w:top w:val="nil"/>
              <w:left w:val="nil"/>
              <w:bottom w:val="single" w:sz="4" w:space="0" w:color="auto"/>
              <w:right w:val="single" w:sz="4" w:space="0" w:color="auto"/>
            </w:tcBorders>
            <w:shd w:val="clear" w:color="auto" w:fill="auto"/>
            <w:noWrap/>
            <w:vAlign w:val="bottom"/>
            <w:hideMark/>
          </w:tcPr>
          <w:p w:rsidR="009B2D51" w:rsidRPr="009102C2" w:rsidRDefault="009B2D51" w:rsidP="009B2D51">
            <w:pPr>
              <w:spacing w:after="0" w:line="240" w:lineRule="auto"/>
              <w:rPr>
                <w:rFonts w:eastAsia="Times New Roman"/>
                <w:color w:val="000000"/>
              </w:rPr>
            </w:pPr>
            <w:r w:rsidRPr="009102C2">
              <w:rPr>
                <w:rFonts w:eastAsia="Times New Roman"/>
                <w:color w:val="000000"/>
              </w:rPr>
              <w:t xml:space="preserve"> $</w:t>
            </w:r>
            <w:r>
              <w:rPr>
                <w:rFonts w:eastAsia="Times New Roman"/>
                <w:color w:val="000000"/>
              </w:rPr>
              <w:t xml:space="preserve">          102,133.87</w:t>
            </w:r>
            <w:r w:rsidRPr="009102C2">
              <w:rPr>
                <w:rFonts w:eastAsia="Times New Roman"/>
                <w:color w:val="000000"/>
              </w:rPr>
              <w:t xml:space="preserve"> </w:t>
            </w:r>
          </w:p>
        </w:tc>
        <w:tc>
          <w:tcPr>
            <w:tcW w:w="1800" w:type="dxa"/>
            <w:tcBorders>
              <w:top w:val="nil"/>
              <w:left w:val="nil"/>
              <w:bottom w:val="single" w:sz="4" w:space="0" w:color="auto"/>
              <w:right w:val="single" w:sz="4" w:space="0" w:color="auto"/>
            </w:tcBorders>
            <w:shd w:val="clear" w:color="auto" w:fill="auto"/>
            <w:noWrap/>
            <w:vAlign w:val="bottom"/>
            <w:hideMark/>
          </w:tcPr>
          <w:p w:rsidR="009B2D51" w:rsidRPr="009102C2" w:rsidRDefault="009B2D51" w:rsidP="00B931E6">
            <w:pPr>
              <w:spacing w:after="0" w:line="240" w:lineRule="auto"/>
              <w:rPr>
                <w:rFonts w:eastAsia="Times New Roman"/>
                <w:color w:val="000000"/>
              </w:rPr>
            </w:pPr>
            <w:r w:rsidRPr="009102C2">
              <w:rPr>
                <w:rFonts w:eastAsia="Times New Roman"/>
                <w:color w:val="000000"/>
              </w:rPr>
              <w:t> </w:t>
            </w:r>
          </w:p>
        </w:tc>
        <w:tc>
          <w:tcPr>
            <w:tcW w:w="1800" w:type="dxa"/>
            <w:tcBorders>
              <w:top w:val="nil"/>
              <w:left w:val="nil"/>
              <w:bottom w:val="single" w:sz="4" w:space="0" w:color="auto"/>
              <w:right w:val="single" w:sz="4" w:space="0" w:color="auto"/>
            </w:tcBorders>
          </w:tcPr>
          <w:p w:rsidR="009B2D51" w:rsidRPr="009102C2" w:rsidRDefault="009B2D51" w:rsidP="00B931E6">
            <w:pPr>
              <w:spacing w:after="0" w:line="240" w:lineRule="auto"/>
              <w:rPr>
                <w:rFonts w:eastAsia="Times New Roman"/>
                <w:color w:val="000000"/>
              </w:rPr>
            </w:pPr>
          </w:p>
        </w:tc>
        <w:tc>
          <w:tcPr>
            <w:tcW w:w="1800" w:type="dxa"/>
            <w:vMerge/>
            <w:tcBorders>
              <w:left w:val="nil"/>
              <w:bottom w:val="single" w:sz="4" w:space="0" w:color="auto"/>
              <w:right w:val="single" w:sz="4" w:space="0" w:color="auto"/>
            </w:tcBorders>
            <w:shd w:val="pct15" w:color="auto" w:fill="auto"/>
          </w:tcPr>
          <w:p w:rsidR="009B2D51" w:rsidRPr="009102C2" w:rsidRDefault="009B2D51" w:rsidP="00B931E6">
            <w:pPr>
              <w:spacing w:after="0" w:line="240" w:lineRule="auto"/>
              <w:rPr>
                <w:rFonts w:eastAsia="Times New Roman"/>
                <w:color w:val="000000"/>
              </w:rPr>
            </w:pPr>
          </w:p>
        </w:tc>
      </w:tr>
      <w:tr w:rsidR="009B2D51" w:rsidRPr="009102C2" w:rsidTr="009B2D51">
        <w:trPr>
          <w:trHeight w:val="300"/>
        </w:trPr>
        <w:tc>
          <w:tcPr>
            <w:tcW w:w="3510" w:type="dxa"/>
            <w:tcBorders>
              <w:top w:val="nil"/>
              <w:left w:val="single" w:sz="4" w:space="0" w:color="auto"/>
              <w:bottom w:val="single" w:sz="4" w:space="0" w:color="auto"/>
              <w:right w:val="single" w:sz="4" w:space="0" w:color="auto"/>
            </w:tcBorders>
            <w:shd w:val="clear" w:color="000000" w:fill="D9D9D9"/>
            <w:noWrap/>
            <w:vAlign w:val="bottom"/>
          </w:tcPr>
          <w:p w:rsidR="009B2D51" w:rsidRDefault="009B2D51" w:rsidP="00B931E6">
            <w:pPr>
              <w:spacing w:after="0" w:line="240" w:lineRule="auto"/>
              <w:rPr>
                <w:rFonts w:eastAsia="Times New Roman"/>
                <w:color w:val="000000"/>
              </w:rPr>
            </w:pPr>
            <w:r>
              <w:rPr>
                <w:rFonts w:eastAsia="Times New Roman"/>
                <w:color w:val="000000"/>
              </w:rPr>
              <w:t>Centro Latino</w:t>
            </w:r>
          </w:p>
        </w:tc>
        <w:tc>
          <w:tcPr>
            <w:tcW w:w="1890" w:type="dxa"/>
            <w:tcBorders>
              <w:top w:val="nil"/>
              <w:left w:val="nil"/>
              <w:bottom w:val="single" w:sz="4" w:space="0" w:color="auto"/>
              <w:right w:val="single" w:sz="4" w:space="0" w:color="auto"/>
            </w:tcBorders>
            <w:shd w:val="clear" w:color="auto" w:fill="auto"/>
            <w:noWrap/>
            <w:vAlign w:val="bottom"/>
          </w:tcPr>
          <w:p w:rsidR="009B2D51" w:rsidRPr="009102C2" w:rsidRDefault="009B2D51" w:rsidP="009B2D51">
            <w:pPr>
              <w:spacing w:after="0" w:line="240" w:lineRule="auto"/>
              <w:rPr>
                <w:rFonts w:eastAsia="Times New Roman"/>
                <w:color w:val="000000"/>
              </w:rPr>
            </w:pPr>
            <w:r>
              <w:rPr>
                <w:rFonts w:eastAsia="Times New Roman"/>
                <w:color w:val="000000"/>
              </w:rPr>
              <w:t xml:space="preserve"> $            18,722.80</w:t>
            </w:r>
          </w:p>
        </w:tc>
        <w:tc>
          <w:tcPr>
            <w:tcW w:w="1800" w:type="dxa"/>
            <w:tcBorders>
              <w:top w:val="nil"/>
              <w:left w:val="nil"/>
              <w:bottom w:val="single" w:sz="4" w:space="0" w:color="auto"/>
              <w:right w:val="single" w:sz="4" w:space="0" w:color="auto"/>
            </w:tcBorders>
            <w:shd w:val="clear" w:color="auto" w:fill="auto"/>
            <w:noWrap/>
            <w:vAlign w:val="bottom"/>
          </w:tcPr>
          <w:p w:rsidR="009B2D51" w:rsidRPr="009102C2" w:rsidRDefault="009B2D51" w:rsidP="00B931E6">
            <w:pPr>
              <w:spacing w:after="0" w:line="240" w:lineRule="auto"/>
              <w:rPr>
                <w:rFonts w:eastAsia="Times New Roman"/>
                <w:color w:val="000000"/>
              </w:rPr>
            </w:pPr>
          </w:p>
        </w:tc>
        <w:tc>
          <w:tcPr>
            <w:tcW w:w="1800" w:type="dxa"/>
            <w:tcBorders>
              <w:top w:val="nil"/>
              <w:left w:val="nil"/>
              <w:bottom w:val="single" w:sz="4" w:space="0" w:color="auto"/>
              <w:right w:val="single" w:sz="4" w:space="0" w:color="auto"/>
            </w:tcBorders>
          </w:tcPr>
          <w:p w:rsidR="009B2D51" w:rsidRPr="009102C2" w:rsidRDefault="009B2D51" w:rsidP="00B931E6">
            <w:pPr>
              <w:spacing w:after="0" w:line="240" w:lineRule="auto"/>
              <w:rPr>
                <w:rFonts w:eastAsia="Times New Roman"/>
                <w:color w:val="000000"/>
              </w:rPr>
            </w:pPr>
          </w:p>
        </w:tc>
        <w:tc>
          <w:tcPr>
            <w:tcW w:w="1800" w:type="dxa"/>
            <w:vMerge/>
            <w:tcBorders>
              <w:left w:val="nil"/>
              <w:bottom w:val="single" w:sz="4" w:space="0" w:color="auto"/>
              <w:right w:val="single" w:sz="4" w:space="0" w:color="auto"/>
            </w:tcBorders>
            <w:shd w:val="pct15" w:color="auto" w:fill="auto"/>
          </w:tcPr>
          <w:p w:rsidR="009B2D51" w:rsidRPr="009102C2" w:rsidRDefault="009B2D51" w:rsidP="00B931E6">
            <w:pPr>
              <w:spacing w:after="0" w:line="240" w:lineRule="auto"/>
              <w:rPr>
                <w:rFonts w:eastAsia="Times New Roman"/>
                <w:color w:val="000000"/>
              </w:rPr>
            </w:pPr>
          </w:p>
        </w:tc>
      </w:tr>
      <w:tr w:rsidR="009B2D51" w:rsidRPr="009102C2" w:rsidTr="009B2D51">
        <w:trPr>
          <w:trHeight w:val="300"/>
        </w:trPr>
        <w:tc>
          <w:tcPr>
            <w:tcW w:w="3510" w:type="dxa"/>
            <w:tcBorders>
              <w:top w:val="nil"/>
              <w:left w:val="single" w:sz="4" w:space="0" w:color="auto"/>
              <w:bottom w:val="single" w:sz="4" w:space="0" w:color="auto"/>
              <w:right w:val="single" w:sz="4" w:space="0" w:color="auto"/>
            </w:tcBorders>
            <w:shd w:val="clear" w:color="000000" w:fill="D9D9D9"/>
            <w:noWrap/>
            <w:vAlign w:val="bottom"/>
            <w:hideMark/>
          </w:tcPr>
          <w:p w:rsidR="009B2D51" w:rsidRPr="009102C2" w:rsidRDefault="009B2D51" w:rsidP="00B931E6">
            <w:pPr>
              <w:spacing w:after="0" w:line="240" w:lineRule="auto"/>
              <w:rPr>
                <w:rFonts w:eastAsia="Times New Roman"/>
                <w:color w:val="000000"/>
              </w:rPr>
            </w:pPr>
            <w:r>
              <w:rPr>
                <w:rFonts w:eastAsia="Times New Roman"/>
                <w:color w:val="000000"/>
              </w:rPr>
              <w:t>Job Point Vocational</w:t>
            </w:r>
            <w:r w:rsidRPr="009102C2">
              <w:rPr>
                <w:rFonts w:eastAsia="Times New Roman"/>
                <w:color w:val="000000"/>
              </w:rPr>
              <w:t xml:space="preserve"> Training</w:t>
            </w:r>
          </w:p>
        </w:tc>
        <w:tc>
          <w:tcPr>
            <w:tcW w:w="1890" w:type="dxa"/>
            <w:tcBorders>
              <w:top w:val="nil"/>
              <w:left w:val="nil"/>
              <w:bottom w:val="single" w:sz="4" w:space="0" w:color="auto"/>
              <w:right w:val="single" w:sz="4" w:space="0" w:color="auto"/>
            </w:tcBorders>
            <w:shd w:val="clear" w:color="auto" w:fill="auto"/>
            <w:noWrap/>
            <w:vAlign w:val="bottom"/>
            <w:hideMark/>
          </w:tcPr>
          <w:p w:rsidR="009B2D51" w:rsidRPr="009102C2" w:rsidRDefault="009B2D51" w:rsidP="009B2D51">
            <w:pPr>
              <w:spacing w:after="0" w:line="240" w:lineRule="auto"/>
              <w:rPr>
                <w:rFonts w:eastAsia="Times New Roman"/>
                <w:color w:val="000000"/>
              </w:rPr>
            </w:pPr>
            <w:r w:rsidRPr="009102C2">
              <w:rPr>
                <w:rFonts w:eastAsia="Times New Roman"/>
                <w:color w:val="000000"/>
              </w:rPr>
              <w:t xml:space="preserve"> $           </w:t>
            </w:r>
            <w:r>
              <w:rPr>
                <w:rFonts w:eastAsia="Times New Roman"/>
                <w:color w:val="000000"/>
              </w:rPr>
              <w:t xml:space="preserve"> 45,981.60</w:t>
            </w:r>
            <w:r w:rsidRPr="009102C2">
              <w:rPr>
                <w:rFonts w:eastAsia="Times New Roman"/>
                <w:color w:val="000000"/>
              </w:rPr>
              <w:t xml:space="preserve"> </w:t>
            </w:r>
          </w:p>
        </w:tc>
        <w:tc>
          <w:tcPr>
            <w:tcW w:w="1800" w:type="dxa"/>
            <w:tcBorders>
              <w:top w:val="nil"/>
              <w:left w:val="nil"/>
              <w:bottom w:val="single" w:sz="4" w:space="0" w:color="auto"/>
              <w:right w:val="single" w:sz="4" w:space="0" w:color="auto"/>
            </w:tcBorders>
            <w:shd w:val="clear" w:color="auto" w:fill="auto"/>
            <w:noWrap/>
            <w:vAlign w:val="bottom"/>
            <w:hideMark/>
          </w:tcPr>
          <w:p w:rsidR="009B2D51" w:rsidRPr="009102C2" w:rsidRDefault="009B2D51" w:rsidP="00B931E6">
            <w:pPr>
              <w:spacing w:after="0" w:line="240" w:lineRule="auto"/>
              <w:rPr>
                <w:rFonts w:eastAsia="Times New Roman"/>
                <w:color w:val="000000"/>
              </w:rPr>
            </w:pPr>
            <w:r w:rsidRPr="009102C2">
              <w:rPr>
                <w:rFonts w:eastAsia="Times New Roman"/>
                <w:color w:val="000000"/>
              </w:rPr>
              <w:t> </w:t>
            </w:r>
          </w:p>
        </w:tc>
        <w:tc>
          <w:tcPr>
            <w:tcW w:w="1800" w:type="dxa"/>
            <w:tcBorders>
              <w:top w:val="nil"/>
              <w:left w:val="nil"/>
              <w:bottom w:val="single" w:sz="4" w:space="0" w:color="auto"/>
              <w:right w:val="single" w:sz="4" w:space="0" w:color="auto"/>
            </w:tcBorders>
          </w:tcPr>
          <w:p w:rsidR="009B2D51" w:rsidRPr="009102C2" w:rsidRDefault="009B2D51" w:rsidP="00B931E6">
            <w:pPr>
              <w:spacing w:after="0" w:line="240" w:lineRule="auto"/>
              <w:rPr>
                <w:rFonts w:eastAsia="Times New Roman"/>
                <w:color w:val="000000"/>
              </w:rPr>
            </w:pPr>
          </w:p>
        </w:tc>
        <w:tc>
          <w:tcPr>
            <w:tcW w:w="1800" w:type="dxa"/>
            <w:vMerge/>
            <w:tcBorders>
              <w:left w:val="nil"/>
              <w:bottom w:val="single" w:sz="4" w:space="0" w:color="auto"/>
              <w:right w:val="single" w:sz="4" w:space="0" w:color="auto"/>
            </w:tcBorders>
            <w:shd w:val="pct15" w:color="auto" w:fill="auto"/>
          </w:tcPr>
          <w:p w:rsidR="009B2D51" w:rsidRPr="009102C2" w:rsidRDefault="009B2D51" w:rsidP="00B931E6">
            <w:pPr>
              <w:spacing w:after="0" w:line="240" w:lineRule="auto"/>
              <w:rPr>
                <w:rFonts w:eastAsia="Times New Roman"/>
                <w:color w:val="000000"/>
              </w:rPr>
            </w:pPr>
          </w:p>
        </w:tc>
      </w:tr>
      <w:tr w:rsidR="009B2D51" w:rsidRPr="009102C2" w:rsidTr="009B2D51">
        <w:trPr>
          <w:trHeight w:val="300"/>
        </w:trPr>
        <w:tc>
          <w:tcPr>
            <w:tcW w:w="3510" w:type="dxa"/>
            <w:tcBorders>
              <w:top w:val="nil"/>
              <w:left w:val="single" w:sz="4" w:space="0" w:color="auto"/>
              <w:bottom w:val="single" w:sz="4" w:space="0" w:color="auto"/>
              <w:right w:val="single" w:sz="4" w:space="0" w:color="auto"/>
            </w:tcBorders>
            <w:shd w:val="clear" w:color="000000" w:fill="D9D9D9"/>
            <w:noWrap/>
            <w:vAlign w:val="bottom"/>
            <w:hideMark/>
          </w:tcPr>
          <w:p w:rsidR="009B2D51" w:rsidRPr="009102C2" w:rsidRDefault="009B2D51" w:rsidP="00B931E6">
            <w:pPr>
              <w:spacing w:after="0" w:line="240" w:lineRule="auto"/>
              <w:rPr>
                <w:rFonts w:eastAsia="Times New Roman"/>
                <w:color w:val="000000"/>
              </w:rPr>
            </w:pPr>
            <w:r w:rsidRPr="009102C2">
              <w:rPr>
                <w:rFonts w:eastAsia="Times New Roman"/>
                <w:color w:val="000000"/>
              </w:rPr>
              <w:t>Homebuyers Class</w:t>
            </w:r>
          </w:p>
        </w:tc>
        <w:tc>
          <w:tcPr>
            <w:tcW w:w="1890" w:type="dxa"/>
            <w:tcBorders>
              <w:top w:val="nil"/>
              <w:left w:val="nil"/>
              <w:bottom w:val="single" w:sz="4" w:space="0" w:color="auto"/>
              <w:right w:val="single" w:sz="4" w:space="0" w:color="auto"/>
            </w:tcBorders>
            <w:shd w:val="clear" w:color="auto" w:fill="auto"/>
            <w:noWrap/>
            <w:vAlign w:val="bottom"/>
            <w:hideMark/>
          </w:tcPr>
          <w:p w:rsidR="009B2D51" w:rsidRPr="009102C2" w:rsidRDefault="009B2D51" w:rsidP="009B2D51">
            <w:pPr>
              <w:spacing w:after="0" w:line="240" w:lineRule="auto"/>
              <w:rPr>
                <w:rFonts w:eastAsia="Times New Roman"/>
                <w:color w:val="000000"/>
              </w:rPr>
            </w:pPr>
            <w:r w:rsidRPr="009102C2">
              <w:rPr>
                <w:rFonts w:eastAsia="Times New Roman"/>
                <w:color w:val="000000"/>
              </w:rPr>
              <w:t xml:space="preserve"> $  </w:t>
            </w:r>
            <w:r>
              <w:rPr>
                <w:rFonts w:eastAsia="Times New Roman"/>
                <w:color w:val="000000"/>
              </w:rPr>
              <w:t xml:space="preserve">            3,447.77</w:t>
            </w:r>
          </w:p>
        </w:tc>
        <w:tc>
          <w:tcPr>
            <w:tcW w:w="1800" w:type="dxa"/>
            <w:tcBorders>
              <w:top w:val="nil"/>
              <w:left w:val="nil"/>
              <w:bottom w:val="single" w:sz="4" w:space="0" w:color="auto"/>
              <w:right w:val="single" w:sz="4" w:space="0" w:color="auto"/>
            </w:tcBorders>
            <w:shd w:val="clear" w:color="auto" w:fill="auto"/>
            <w:noWrap/>
            <w:vAlign w:val="bottom"/>
            <w:hideMark/>
          </w:tcPr>
          <w:p w:rsidR="009B2D51" w:rsidRPr="009102C2" w:rsidRDefault="009B2D51" w:rsidP="00B931E6">
            <w:pPr>
              <w:spacing w:after="0" w:line="240" w:lineRule="auto"/>
              <w:rPr>
                <w:rFonts w:eastAsia="Times New Roman"/>
                <w:color w:val="000000"/>
              </w:rPr>
            </w:pPr>
            <w:r w:rsidRPr="009102C2">
              <w:rPr>
                <w:rFonts w:eastAsia="Times New Roman"/>
                <w:color w:val="000000"/>
              </w:rPr>
              <w:t> </w:t>
            </w:r>
          </w:p>
        </w:tc>
        <w:tc>
          <w:tcPr>
            <w:tcW w:w="1800" w:type="dxa"/>
            <w:tcBorders>
              <w:top w:val="nil"/>
              <w:left w:val="nil"/>
              <w:bottom w:val="single" w:sz="4" w:space="0" w:color="auto"/>
              <w:right w:val="single" w:sz="4" w:space="0" w:color="auto"/>
            </w:tcBorders>
          </w:tcPr>
          <w:p w:rsidR="009B2D51" w:rsidRPr="009102C2" w:rsidRDefault="009B2D51" w:rsidP="00B931E6">
            <w:pPr>
              <w:spacing w:after="0" w:line="240" w:lineRule="auto"/>
              <w:rPr>
                <w:rFonts w:eastAsia="Times New Roman"/>
                <w:color w:val="000000"/>
              </w:rPr>
            </w:pPr>
          </w:p>
        </w:tc>
        <w:tc>
          <w:tcPr>
            <w:tcW w:w="1800" w:type="dxa"/>
            <w:vMerge/>
            <w:tcBorders>
              <w:left w:val="nil"/>
              <w:bottom w:val="single" w:sz="4" w:space="0" w:color="auto"/>
              <w:right w:val="single" w:sz="4" w:space="0" w:color="auto"/>
            </w:tcBorders>
            <w:shd w:val="pct15" w:color="auto" w:fill="auto"/>
          </w:tcPr>
          <w:p w:rsidR="009B2D51" w:rsidRPr="009102C2" w:rsidRDefault="009B2D51" w:rsidP="00B931E6">
            <w:pPr>
              <w:spacing w:after="0" w:line="240" w:lineRule="auto"/>
              <w:rPr>
                <w:rFonts w:eastAsia="Times New Roman"/>
                <w:color w:val="000000"/>
              </w:rPr>
            </w:pPr>
          </w:p>
        </w:tc>
      </w:tr>
      <w:tr w:rsidR="009B2D51" w:rsidRPr="009102C2" w:rsidTr="009B2D51">
        <w:trPr>
          <w:trHeight w:val="300"/>
        </w:trPr>
        <w:tc>
          <w:tcPr>
            <w:tcW w:w="3510" w:type="dxa"/>
            <w:tcBorders>
              <w:top w:val="nil"/>
              <w:left w:val="single" w:sz="4" w:space="0" w:color="auto"/>
              <w:bottom w:val="single" w:sz="4" w:space="0" w:color="auto"/>
              <w:right w:val="single" w:sz="4" w:space="0" w:color="auto"/>
            </w:tcBorders>
            <w:shd w:val="clear" w:color="000000" w:fill="D9D9D9"/>
            <w:noWrap/>
            <w:vAlign w:val="bottom"/>
            <w:hideMark/>
          </w:tcPr>
          <w:p w:rsidR="009B2D51" w:rsidRPr="009102C2" w:rsidRDefault="009B2D51" w:rsidP="00B931E6">
            <w:pPr>
              <w:spacing w:after="0" w:line="240" w:lineRule="auto"/>
              <w:rPr>
                <w:rFonts w:eastAsia="Times New Roman"/>
                <w:color w:val="000000"/>
              </w:rPr>
            </w:pPr>
            <w:r w:rsidRPr="009102C2">
              <w:rPr>
                <w:rFonts w:eastAsia="Times New Roman"/>
                <w:color w:val="000000"/>
              </w:rPr>
              <w:t>SIL Accessibility and Repair Program</w:t>
            </w:r>
          </w:p>
        </w:tc>
        <w:tc>
          <w:tcPr>
            <w:tcW w:w="1890" w:type="dxa"/>
            <w:tcBorders>
              <w:top w:val="nil"/>
              <w:left w:val="nil"/>
              <w:bottom w:val="single" w:sz="4" w:space="0" w:color="auto"/>
              <w:right w:val="single" w:sz="4" w:space="0" w:color="auto"/>
            </w:tcBorders>
            <w:shd w:val="clear" w:color="auto" w:fill="auto"/>
            <w:noWrap/>
            <w:vAlign w:val="bottom"/>
            <w:hideMark/>
          </w:tcPr>
          <w:p w:rsidR="009B2D51" w:rsidRPr="009102C2" w:rsidRDefault="009B2D51" w:rsidP="009B2D51">
            <w:pPr>
              <w:spacing w:after="0" w:line="240" w:lineRule="auto"/>
              <w:rPr>
                <w:rFonts w:eastAsia="Times New Roman"/>
                <w:color w:val="000000"/>
              </w:rPr>
            </w:pPr>
            <w:r w:rsidRPr="009102C2">
              <w:rPr>
                <w:rFonts w:eastAsia="Times New Roman"/>
                <w:color w:val="000000"/>
              </w:rPr>
              <w:t xml:space="preserve"> $    </w:t>
            </w:r>
            <w:r>
              <w:rPr>
                <w:rFonts w:eastAsia="Times New Roman"/>
                <w:color w:val="000000"/>
              </w:rPr>
              <w:t xml:space="preserve"> </w:t>
            </w:r>
            <w:r w:rsidRPr="009102C2">
              <w:rPr>
                <w:rFonts w:eastAsia="Times New Roman"/>
                <w:color w:val="000000"/>
              </w:rPr>
              <w:t xml:space="preserve">     </w:t>
            </w:r>
            <w:r>
              <w:rPr>
                <w:rFonts w:eastAsia="Times New Roman"/>
                <w:color w:val="000000"/>
              </w:rPr>
              <w:t>105,648.11</w:t>
            </w:r>
            <w:r w:rsidRPr="009102C2">
              <w:rPr>
                <w:rFonts w:eastAsia="Times New Roman"/>
                <w:color w:val="000000"/>
              </w:rPr>
              <w:t xml:space="preserve"> </w:t>
            </w:r>
          </w:p>
        </w:tc>
        <w:tc>
          <w:tcPr>
            <w:tcW w:w="1800" w:type="dxa"/>
            <w:tcBorders>
              <w:top w:val="nil"/>
              <w:left w:val="nil"/>
              <w:bottom w:val="single" w:sz="4" w:space="0" w:color="auto"/>
              <w:right w:val="single" w:sz="4" w:space="0" w:color="auto"/>
            </w:tcBorders>
            <w:shd w:val="clear" w:color="auto" w:fill="auto"/>
            <w:noWrap/>
            <w:vAlign w:val="bottom"/>
            <w:hideMark/>
          </w:tcPr>
          <w:p w:rsidR="009B2D51" w:rsidRPr="009102C2" w:rsidRDefault="009B2D51" w:rsidP="00B931E6">
            <w:pPr>
              <w:spacing w:after="0" w:line="240" w:lineRule="auto"/>
              <w:rPr>
                <w:rFonts w:eastAsia="Times New Roman"/>
                <w:color w:val="000000"/>
              </w:rPr>
            </w:pPr>
            <w:r w:rsidRPr="009102C2">
              <w:rPr>
                <w:rFonts w:eastAsia="Times New Roman"/>
                <w:color w:val="000000"/>
              </w:rPr>
              <w:t> </w:t>
            </w:r>
          </w:p>
        </w:tc>
        <w:tc>
          <w:tcPr>
            <w:tcW w:w="1800" w:type="dxa"/>
            <w:tcBorders>
              <w:top w:val="nil"/>
              <w:left w:val="nil"/>
              <w:bottom w:val="single" w:sz="4" w:space="0" w:color="auto"/>
              <w:right w:val="single" w:sz="4" w:space="0" w:color="auto"/>
            </w:tcBorders>
          </w:tcPr>
          <w:p w:rsidR="009B2D51" w:rsidRPr="009102C2" w:rsidRDefault="009B2D51" w:rsidP="00B931E6">
            <w:pPr>
              <w:spacing w:after="0" w:line="240" w:lineRule="auto"/>
              <w:rPr>
                <w:rFonts w:eastAsia="Times New Roman"/>
                <w:color w:val="000000"/>
              </w:rPr>
            </w:pPr>
          </w:p>
        </w:tc>
        <w:tc>
          <w:tcPr>
            <w:tcW w:w="1800" w:type="dxa"/>
            <w:vMerge/>
            <w:tcBorders>
              <w:left w:val="nil"/>
              <w:bottom w:val="single" w:sz="4" w:space="0" w:color="auto"/>
              <w:right w:val="single" w:sz="4" w:space="0" w:color="auto"/>
            </w:tcBorders>
            <w:shd w:val="pct15" w:color="auto" w:fill="auto"/>
          </w:tcPr>
          <w:p w:rsidR="009B2D51" w:rsidRPr="009102C2" w:rsidRDefault="009B2D51" w:rsidP="00B931E6">
            <w:pPr>
              <w:spacing w:after="0" w:line="240" w:lineRule="auto"/>
              <w:rPr>
                <w:rFonts w:eastAsia="Times New Roman"/>
                <w:color w:val="000000"/>
              </w:rPr>
            </w:pPr>
          </w:p>
        </w:tc>
      </w:tr>
      <w:tr w:rsidR="009B2D51" w:rsidRPr="009102C2" w:rsidTr="009B2D51">
        <w:trPr>
          <w:trHeight w:val="300"/>
        </w:trPr>
        <w:tc>
          <w:tcPr>
            <w:tcW w:w="3510" w:type="dxa"/>
            <w:tcBorders>
              <w:top w:val="nil"/>
              <w:left w:val="single" w:sz="4" w:space="0" w:color="auto"/>
              <w:bottom w:val="single" w:sz="4" w:space="0" w:color="auto"/>
              <w:right w:val="single" w:sz="4" w:space="0" w:color="auto"/>
            </w:tcBorders>
            <w:shd w:val="clear" w:color="000000" w:fill="D9D9D9"/>
            <w:noWrap/>
            <w:vAlign w:val="bottom"/>
          </w:tcPr>
          <w:p w:rsidR="009B2D51" w:rsidRPr="009102C2" w:rsidRDefault="009B2D51" w:rsidP="00B931E6">
            <w:pPr>
              <w:spacing w:after="0" w:line="240" w:lineRule="auto"/>
              <w:rPr>
                <w:rFonts w:eastAsia="Times New Roman"/>
                <w:color w:val="000000"/>
              </w:rPr>
            </w:pPr>
            <w:r>
              <w:rPr>
                <w:rFonts w:eastAsia="Times New Roman"/>
                <w:color w:val="000000"/>
              </w:rPr>
              <w:t>Welcome Home</w:t>
            </w:r>
          </w:p>
        </w:tc>
        <w:tc>
          <w:tcPr>
            <w:tcW w:w="1890" w:type="dxa"/>
            <w:tcBorders>
              <w:top w:val="nil"/>
              <w:left w:val="nil"/>
              <w:bottom w:val="single" w:sz="4" w:space="0" w:color="auto"/>
              <w:right w:val="single" w:sz="4" w:space="0" w:color="auto"/>
            </w:tcBorders>
            <w:shd w:val="clear" w:color="auto" w:fill="auto"/>
            <w:noWrap/>
            <w:vAlign w:val="bottom"/>
          </w:tcPr>
          <w:p w:rsidR="009B2D51" w:rsidRPr="009102C2" w:rsidRDefault="009B2D51" w:rsidP="009B2D51">
            <w:pPr>
              <w:spacing w:after="0" w:line="240" w:lineRule="auto"/>
              <w:rPr>
                <w:rFonts w:eastAsia="Times New Roman"/>
                <w:color w:val="000000"/>
              </w:rPr>
            </w:pPr>
            <w:r>
              <w:rPr>
                <w:rFonts w:eastAsia="Times New Roman"/>
                <w:color w:val="000000"/>
              </w:rPr>
              <w:t xml:space="preserve"> $          254,200.00</w:t>
            </w:r>
          </w:p>
        </w:tc>
        <w:tc>
          <w:tcPr>
            <w:tcW w:w="1800" w:type="dxa"/>
            <w:tcBorders>
              <w:top w:val="nil"/>
              <w:left w:val="nil"/>
              <w:bottom w:val="single" w:sz="4" w:space="0" w:color="auto"/>
              <w:right w:val="single" w:sz="4" w:space="0" w:color="auto"/>
            </w:tcBorders>
            <w:shd w:val="clear" w:color="auto" w:fill="auto"/>
            <w:noWrap/>
            <w:vAlign w:val="bottom"/>
          </w:tcPr>
          <w:p w:rsidR="009B2D51" w:rsidRPr="009102C2" w:rsidRDefault="009B2D51" w:rsidP="00B931E6">
            <w:pPr>
              <w:spacing w:after="0" w:line="240" w:lineRule="auto"/>
              <w:rPr>
                <w:rFonts w:eastAsia="Times New Roman"/>
                <w:color w:val="000000"/>
              </w:rPr>
            </w:pPr>
          </w:p>
        </w:tc>
        <w:tc>
          <w:tcPr>
            <w:tcW w:w="1800" w:type="dxa"/>
            <w:tcBorders>
              <w:top w:val="nil"/>
              <w:left w:val="nil"/>
              <w:bottom w:val="single" w:sz="4" w:space="0" w:color="auto"/>
              <w:right w:val="single" w:sz="4" w:space="0" w:color="auto"/>
            </w:tcBorders>
          </w:tcPr>
          <w:p w:rsidR="009B2D51" w:rsidRPr="009102C2" w:rsidRDefault="009B2D51" w:rsidP="009B2D51">
            <w:pPr>
              <w:spacing w:after="0" w:line="240" w:lineRule="auto"/>
              <w:rPr>
                <w:rFonts w:eastAsia="Times New Roman"/>
                <w:color w:val="000000"/>
              </w:rPr>
            </w:pPr>
            <w:r>
              <w:rPr>
                <w:rFonts w:eastAsia="Times New Roman"/>
                <w:color w:val="000000"/>
              </w:rPr>
              <w:t>$         234,306.19</w:t>
            </w:r>
          </w:p>
        </w:tc>
        <w:tc>
          <w:tcPr>
            <w:tcW w:w="1800" w:type="dxa"/>
            <w:vMerge/>
            <w:tcBorders>
              <w:left w:val="nil"/>
              <w:bottom w:val="single" w:sz="4" w:space="0" w:color="auto"/>
              <w:right w:val="single" w:sz="4" w:space="0" w:color="auto"/>
            </w:tcBorders>
            <w:shd w:val="pct15" w:color="auto" w:fill="auto"/>
          </w:tcPr>
          <w:p w:rsidR="009B2D51" w:rsidRDefault="009B2D51" w:rsidP="00B931E6">
            <w:pPr>
              <w:spacing w:after="0" w:line="240" w:lineRule="auto"/>
              <w:rPr>
                <w:rFonts w:eastAsia="Times New Roman"/>
                <w:color w:val="000000"/>
              </w:rPr>
            </w:pPr>
          </w:p>
        </w:tc>
      </w:tr>
      <w:tr w:rsidR="009B2D51" w:rsidRPr="009102C2" w:rsidTr="009B2D51">
        <w:trPr>
          <w:trHeight w:val="300"/>
        </w:trPr>
        <w:tc>
          <w:tcPr>
            <w:tcW w:w="3510" w:type="dxa"/>
            <w:tcBorders>
              <w:top w:val="nil"/>
              <w:left w:val="single" w:sz="4" w:space="0" w:color="auto"/>
              <w:bottom w:val="single" w:sz="4" w:space="0" w:color="auto"/>
              <w:right w:val="single" w:sz="4" w:space="0" w:color="auto"/>
            </w:tcBorders>
            <w:shd w:val="clear" w:color="000000" w:fill="D9D9D9"/>
            <w:noWrap/>
            <w:vAlign w:val="bottom"/>
            <w:hideMark/>
          </w:tcPr>
          <w:p w:rsidR="009B2D51" w:rsidRPr="009102C2" w:rsidRDefault="009B2D51" w:rsidP="00B931E6">
            <w:pPr>
              <w:spacing w:after="0" w:line="240" w:lineRule="auto"/>
              <w:rPr>
                <w:rFonts w:eastAsia="Times New Roman"/>
                <w:color w:val="000000"/>
              </w:rPr>
            </w:pPr>
            <w:r w:rsidRPr="009102C2">
              <w:rPr>
                <w:rFonts w:eastAsia="Times New Roman"/>
                <w:color w:val="000000"/>
              </w:rPr>
              <w:t>Fair Housing Set-aside</w:t>
            </w:r>
          </w:p>
        </w:tc>
        <w:tc>
          <w:tcPr>
            <w:tcW w:w="1890" w:type="dxa"/>
            <w:tcBorders>
              <w:top w:val="nil"/>
              <w:left w:val="nil"/>
              <w:bottom w:val="single" w:sz="4" w:space="0" w:color="auto"/>
              <w:right w:val="single" w:sz="4" w:space="0" w:color="auto"/>
            </w:tcBorders>
            <w:shd w:val="clear" w:color="auto" w:fill="auto"/>
            <w:noWrap/>
            <w:vAlign w:val="bottom"/>
            <w:hideMark/>
          </w:tcPr>
          <w:p w:rsidR="009B2D51" w:rsidRPr="009102C2" w:rsidRDefault="009B2D51" w:rsidP="009B2D51">
            <w:pPr>
              <w:spacing w:after="0" w:line="240" w:lineRule="auto"/>
              <w:rPr>
                <w:rFonts w:eastAsia="Times New Roman"/>
                <w:color w:val="000000"/>
              </w:rPr>
            </w:pPr>
            <w:r w:rsidRPr="009102C2">
              <w:rPr>
                <w:rFonts w:eastAsia="Times New Roman"/>
                <w:color w:val="000000"/>
              </w:rPr>
              <w:t xml:space="preserve"> $           </w:t>
            </w:r>
            <w:r>
              <w:rPr>
                <w:rFonts w:eastAsia="Times New Roman"/>
                <w:color w:val="000000"/>
              </w:rPr>
              <w:t xml:space="preserve">   7,566.59</w:t>
            </w:r>
            <w:r w:rsidRPr="009102C2">
              <w:rPr>
                <w:rFonts w:eastAsia="Times New Roman"/>
                <w:color w:val="000000"/>
              </w:rPr>
              <w:t xml:space="preserve"> </w:t>
            </w:r>
          </w:p>
        </w:tc>
        <w:tc>
          <w:tcPr>
            <w:tcW w:w="1800" w:type="dxa"/>
            <w:tcBorders>
              <w:top w:val="nil"/>
              <w:left w:val="nil"/>
              <w:bottom w:val="single" w:sz="4" w:space="0" w:color="auto"/>
              <w:right w:val="single" w:sz="4" w:space="0" w:color="auto"/>
            </w:tcBorders>
            <w:shd w:val="clear" w:color="auto" w:fill="auto"/>
            <w:noWrap/>
            <w:vAlign w:val="bottom"/>
            <w:hideMark/>
          </w:tcPr>
          <w:p w:rsidR="009B2D51" w:rsidRPr="009102C2" w:rsidRDefault="009B2D51" w:rsidP="00B931E6">
            <w:pPr>
              <w:spacing w:after="0" w:line="240" w:lineRule="auto"/>
              <w:rPr>
                <w:rFonts w:eastAsia="Times New Roman"/>
                <w:color w:val="000000"/>
              </w:rPr>
            </w:pPr>
            <w:r w:rsidRPr="009102C2">
              <w:rPr>
                <w:rFonts w:eastAsia="Times New Roman"/>
                <w:color w:val="000000"/>
              </w:rPr>
              <w:t> </w:t>
            </w:r>
          </w:p>
        </w:tc>
        <w:tc>
          <w:tcPr>
            <w:tcW w:w="1800" w:type="dxa"/>
            <w:tcBorders>
              <w:top w:val="nil"/>
              <w:left w:val="nil"/>
              <w:bottom w:val="single" w:sz="4" w:space="0" w:color="auto"/>
              <w:right w:val="single" w:sz="4" w:space="0" w:color="auto"/>
            </w:tcBorders>
          </w:tcPr>
          <w:p w:rsidR="009B2D51" w:rsidRPr="009102C2" w:rsidRDefault="009B2D51" w:rsidP="00B931E6">
            <w:pPr>
              <w:spacing w:after="0" w:line="240" w:lineRule="auto"/>
              <w:rPr>
                <w:rFonts w:eastAsia="Times New Roman"/>
                <w:color w:val="000000"/>
              </w:rPr>
            </w:pPr>
          </w:p>
        </w:tc>
        <w:tc>
          <w:tcPr>
            <w:tcW w:w="1800" w:type="dxa"/>
            <w:vMerge/>
            <w:tcBorders>
              <w:left w:val="nil"/>
              <w:bottom w:val="single" w:sz="4" w:space="0" w:color="auto"/>
              <w:right w:val="single" w:sz="4" w:space="0" w:color="auto"/>
            </w:tcBorders>
            <w:shd w:val="pct15" w:color="auto" w:fill="auto"/>
          </w:tcPr>
          <w:p w:rsidR="009B2D51" w:rsidRPr="009102C2" w:rsidRDefault="009B2D51" w:rsidP="00B931E6">
            <w:pPr>
              <w:spacing w:after="0" w:line="240" w:lineRule="auto"/>
              <w:rPr>
                <w:rFonts w:eastAsia="Times New Roman"/>
                <w:color w:val="000000"/>
              </w:rPr>
            </w:pPr>
          </w:p>
        </w:tc>
      </w:tr>
      <w:tr w:rsidR="009B2D51" w:rsidRPr="009102C2" w:rsidTr="009B2D51">
        <w:trPr>
          <w:trHeight w:val="300"/>
        </w:trPr>
        <w:tc>
          <w:tcPr>
            <w:tcW w:w="3510" w:type="dxa"/>
            <w:tcBorders>
              <w:top w:val="nil"/>
              <w:left w:val="single" w:sz="4" w:space="0" w:color="auto"/>
              <w:bottom w:val="single" w:sz="4" w:space="0" w:color="auto"/>
              <w:right w:val="single" w:sz="4" w:space="0" w:color="auto"/>
            </w:tcBorders>
            <w:shd w:val="clear" w:color="000000" w:fill="D9D9D9"/>
            <w:noWrap/>
            <w:vAlign w:val="bottom"/>
          </w:tcPr>
          <w:p w:rsidR="009B2D51" w:rsidRPr="009102C2" w:rsidRDefault="009B2D51" w:rsidP="00B931E6">
            <w:pPr>
              <w:spacing w:after="0" w:line="240" w:lineRule="auto"/>
              <w:rPr>
                <w:rFonts w:eastAsia="Times New Roman"/>
                <w:color w:val="000000"/>
              </w:rPr>
            </w:pPr>
            <w:r>
              <w:rPr>
                <w:rFonts w:eastAsia="Times New Roman"/>
                <w:color w:val="000000"/>
              </w:rPr>
              <w:t>Bus Shelters</w:t>
            </w:r>
          </w:p>
        </w:tc>
        <w:tc>
          <w:tcPr>
            <w:tcW w:w="1890" w:type="dxa"/>
            <w:tcBorders>
              <w:top w:val="nil"/>
              <w:left w:val="nil"/>
              <w:bottom w:val="single" w:sz="4" w:space="0" w:color="auto"/>
              <w:right w:val="single" w:sz="4" w:space="0" w:color="auto"/>
            </w:tcBorders>
            <w:shd w:val="clear" w:color="auto" w:fill="auto"/>
            <w:noWrap/>
            <w:vAlign w:val="bottom"/>
          </w:tcPr>
          <w:p w:rsidR="009B2D51" w:rsidRPr="009102C2" w:rsidRDefault="009B2D51" w:rsidP="009B2D51">
            <w:pPr>
              <w:spacing w:after="0" w:line="240" w:lineRule="auto"/>
              <w:rPr>
                <w:rFonts w:eastAsia="Times New Roman"/>
                <w:color w:val="000000"/>
              </w:rPr>
            </w:pPr>
            <w:r>
              <w:rPr>
                <w:rFonts w:eastAsia="Times New Roman"/>
                <w:color w:val="000000"/>
              </w:rPr>
              <w:t xml:space="preserve"> $              4,900.00</w:t>
            </w:r>
          </w:p>
        </w:tc>
        <w:tc>
          <w:tcPr>
            <w:tcW w:w="1800" w:type="dxa"/>
            <w:tcBorders>
              <w:top w:val="nil"/>
              <w:left w:val="nil"/>
              <w:bottom w:val="single" w:sz="4" w:space="0" w:color="auto"/>
              <w:right w:val="single" w:sz="4" w:space="0" w:color="auto"/>
            </w:tcBorders>
            <w:shd w:val="clear" w:color="auto" w:fill="auto"/>
            <w:noWrap/>
            <w:vAlign w:val="bottom"/>
            <w:hideMark/>
          </w:tcPr>
          <w:p w:rsidR="009B2D51" w:rsidRPr="009102C2" w:rsidRDefault="009B2D51" w:rsidP="00B931E6">
            <w:pPr>
              <w:spacing w:after="0" w:line="240" w:lineRule="auto"/>
              <w:rPr>
                <w:rFonts w:eastAsia="Times New Roman"/>
                <w:color w:val="000000"/>
              </w:rPr>
            </w:pPr>
            <w:r w:rsidRPr="009102C2">
              <w:rPr>
                <w:rFonts w:eastAsia="Times New Roman"/>
                <w:color w:val="000000"/>
              </w:rPr>
              <w:t> </w:t>
            </w:r>
          </w:p>
        </w:tc>
        <w:tc>
          <w:tcPr>
            <w:tcW w:w="1800" w:type="dxa"/>
            <w:tcBorders>
              <w:top w:val="nil"/>
              <w:left w:val="nil"/>
              <w:bottom w:val="single" w:sz="4" w:space="0" w:color="auto"/>
              <w:right w:val="single" w:sz="4" w:space="0" w:color="auto"/>
            </w:tcBorders>
          </w:tcPr>
          <w:p w:rsidR="009B2D51" w:rsidRPr="009102C2" w:rsidRDefault="009B2D51" w:rsidP="00B931E6">
            <w:pPr>
              <w:spacing w:after="0" w:line="240" w:lineRule="auto"/>
              <w:rPr>
                <w:rFonts w:eastAsia="Times New Roman"/>
                <w:color w:val="000000"/>
              </w:rPr>
            </w:pPr>
          </w:p>
        </w:tc>
        <w:tc>
          <w:tcPr>
            <w:tcW w:w="1800" w:type="dxa"/>
            <w:vMerge/>
            <w:tcBorders>
              <w:left w:val="nil"/>
              <w:bottom w:val="single" w:sz="4" w:space="0" w:color="auto"/>
              <w:right w:val="single" w:sz="4" w:space="0" w:color="auto"/>
            </w:tcBorders>
            <w:shd w:val="pct15" w:color="auto" w:fill="auto"/>
          </w:tcPr>
          <w:p w:rsidR="009B2D51" w:rsidRPr="009102C2" w:rsidRDefault="009B2D51" w:rsidP="00B931E6">
            <w:pPr>
              <w:spacing w:after="0" w:line="240" w:lineRule="auto"/>
              <w:rPr>
                <w:rFonts w:eastAsia="Times New Roman"/>
                <w:color w:val="000000"/>
              </w:rPr>
            </w:pPr>
          </w:p>
        </w:tc>
      </w:tr>
      <w:tr w:rsidR="009B2D51" w:rsidRPr="009102C2" w:rsidTr="009B2D51">
        <w:trPr>
          <w:trHeight w:val="300"/>
        </w:trPr>
        <w:tc>
          <w:tcPr>
            <w:tcW w:w="3510" w:type="dxa"/>
            <w:tcBorders>
              <w:top w:val="nil"/>
              <w:left w:val="single" w:sz="4" w:space="0" w:color="auto"/>
              <w:bottom w:val="single" w:sz="4" w:space="0" w:color="auto"/>
              <w:right w:val="single" w:sz="4" w:space="0" w:color="auto"/>
            </w:tcBorders>
            <w:shd w:val="clear" w:color="000000" w:fill="D9D9D9"/>
            <w:noWrap/>
            <w:vAlign w:val="bottom"/>
          </w:tcPr>
          <w:p w:rsidR="009B2D51" w:rsidRDefault="009B2D51" w:rsidP="00B931E6">
            <w:pPr>
              <w:spacing w:after="0" w:line="240" w:lineRule="auto"/>
              <w:rPr>
                <w:rFonts w:eastAsia="Times New Roman"/>
                <w:color w:val="000000"/>
              </w:rPr>
            </w:pPr>
            <w:r>
              <w:rPr>
                <w:rFonts w:eastAsia="Times New Roman"/>
                <w:color w:val="000000"/>
              </w:rPr>
              <w:t>Homeownership Assistance</w:t>
            </w:r>
          </w:p>
        </w:tc>
        <w:tc>
          <w:tcPr>
            <w:tcW w:w="1890" w:type="dxa"/>
            <w:tcBorders>
              <w:top w:val="nil"/>
              <w:left w:val="nil"/>
              <w:bottom w:val="single" w:sz="4" w:space="0" w:color="auto"/>
              <w:right w:val="single" w:sz="4" w:space="0" w:color="auto"/>
            </w:tcBorders>
            <w:shd w:val="clear" w:color="auto" w:fill="auto"/>
            <w:noWrap/>
            <w:vAlign w:val="bottom"/>
          </w:tcPr>
          <w:p w:rsidR="009B2D51" w:rsidRPr="009102C2" w:rsidRDefault="009B2D51" w:rsidP="00B931E6">
            <w:pPr>
              <w:spacing w:after="0" w:line="240" w:lineRule="auto"/>
              <w:rPr>
                <w:rFonts w:eastAsia="Times New Roman"/>
                <w:color w:val="000000"/>
              </w:rPr>
            </w:pPr>
          </w:p>
        </w:tc>
        <w:tc>
          <w:tcPr>
            <w:tcW w:w="1800" w:type="dxa"/>
            <w:tcBorders>
              <w:top w:val="nil"/>
              <w:left w:val="nil"/>
              <w:bottom w:val="single" w:sz="4" w:space="0" w:color="auto"/>
              <w:right w:val="single" w:sz="4" w:space="0" w:color="auto"/>
            </w:tcBorders>
            <w:shd w:val="clear" w:color="auto" w:fill="auto"/>
            <w:noWrap/>
            <w:vAlign w:val="bottom"/>
          </w:tcPr>
          <w:p w:rsidR="009B2D51" w:rsidRDefault="009B2D51" w:rsidP="009B2D51">
            <w:pPr>
              <w:spacing w:after="0" w:line="240" w:lineRule="auto"/>
              <w:rPr>
                <w:rFonts w:eastAsia="Times New Roman"/>
                <w:color w:val="000000"/>
              </w:rPr>
            </w:pPr>
            <w:r>
              <w:rPr>
                <w:rFonts w:eastAsia="Times New Roman"/>
                <w:color w:val="000000"/>
              </w:rPr>
              <w:t xml:space="preserve"> $        182,096.03</w:t>
            </w:r>
          </w:p>
        </w:tc>
        <w:tc>
          <w:tcPr>
            <w:tcW w:w="1800" w:type="dxa"/>
            <w:tcBorders>
              <w:top w:val="nil"/>
              <w:left w:val="nil"/>
              <w:bottom w:val="single" w:sz="4" w:space="0" w:color="auto"/>
              <w:right w:val="single" w:sz="4" w:space="0" w:color="auto"/>
            </w:tcBorders>
          </w:tcPr>
          <w:p w:rsidR="009B2D51" w:rsidRDefault="009B2D51" w:rsidP="009B2D51">
            <w:pPr>
              <w:spacing w:after="0" w:line="240" w:lineRule="auto"/>
              <w:rPr>
                <w:rFonts w:eastAsia="Times New Roman"/>
                <w:color w:val="000000"/>
              </w:rPr>
            </w:pPr>
            <w:r>
              <w:rPr>
                <w:rFonts w:eastAsia="Times New Roman"/>
                <w:color w:val="000000"/>
              </w:rPr>
              <w:t>$           83,179.00</w:t>
            </w:r>
          </w:p>
        </w:tc>
        <w:tc>
          <w:tcPr>
            <w:tcW w:w="1800" w:type="dxa"/>
            <w:vMerge/>
            <w:tcBorders>
              <w:left w:val="nil"/>
              <w:bottom w:val="single" w:sz="4" w:space="0" w:color="auto"/>
              <w:right w:val="single" w:sz="4" w:space="0" w:color="auto"/>
            </w:tcBorders>
            <w:shd w:val="pct15" w:color="auto" w:fill="auto"/>
          </w:tcPr>
          <w:p w:rsidR="009B2D51" w:rsidRDefault="009B2D51" w:rsidP="00B47B8E">
            <w:pPr>
              <w:spacing w:after="0" w:line="240" w:lineRule="auto"/>
              <w:rPr>
                <w:rFonts w:eastAsia="Times New Roman"/>
                <w:color w:val="000000"/>
              </w:rPr>
            </w:pPr>
          </w:p>
        </w:tc>
      </w:tr>
      <w:tr w:rsidR="009B2D51" w:rsidRPr="009102C2" w:rsidTr="009B2D51">
        <w:trPr>
          <w:trHeight w:val="300"/>
        </w:trPr>
        <w:tc>
          <w:tcPr>
            <w:tcW w:w="3510" w:type="dxa"/>
            <w:tcBorders>
              <w:top w:val="nil"/>
              <w:left w:val="single" w:sz="4" w:space="0" w:color="auto"/>
              <w:bottom w:val="single" w:sz="4" w:space="0" w:color="auto"/>
              <w:right w:val="single" w:sz="4" w:space="0" w:color="auto"/>
            </w:tcBorders>
            <w:shd w:val="clear" w:color="000000" w:fill="D9D9D9"/>
            <w:noWrap/>
            <w:vAlign w:val="bottom"/>
          </w:tcPr>
          <w:p w:rsidR="009B2D51" w:rsidRPr="009102C2" w:rsidRDefault="009B2D51" w:rsidP="00B931E6">
            <w:pPr>
              <w:spacing w:after="0" w:line="240" w:lineRule="auto"/>
              <w:rPr>
                <w:rFonts w:eastAsia="Times New Roman"/>
                <w:color w:val="000000"/>
              </w:rPr>
            </w:pPr>
            <w:r w:rsidRPr="009102C2">
              <w:rPr>
                <w:rFonts w:eastAsia="Times New Roman"/>
                <w:color w:val="000000"/>
              </w:rPr>
              <w:t>CHDO</w:t>
            </w:r>
            <w:r>
              <w:rPr>
                <w:rFonts w:eastAsia="Times New Roman"/>
                <w:color w:val="000000"/>
              </w:rPr>
              <w:t xml:space="preserve"> (Habitat, CMCA, Job Point)</w:t>
            </w:r>
          </w:p>
        </w:tc>
        <w:tc>
          <w:tcPr>
            <w:tcW w:w="1890" w:type="dxa"/>
            <w:tcBorders>
              <w:top w:val="nil"/>
              <w:left w:val="nil"/>
              <w:bottom w:val="single" w:sz="4" w:space="0" w:color="auto"/>
              <w:right w:val="single" w:sz="4" w:space="0" w:color="auto"/>
            </w:tcBorders>
            <w:shd w:val="clear" w:color="auto" w:fill="auto"/>
            <w:noWrap/>
            <w:vAlign w:val="bottom"/>
          </w:tcPr>
          <w:p w:rsidR="009B2D51" w:rsidRPr="009102C2" w:rsidRDefault="009B2D51" w:rsidP="00B931E6">
            <w:pPr>
              <w:spacing w:after="0" w:line="240" w:lineRule="auto"/>
              <w:rPr>
                <w:rFonts w:eastAsia="Times New Roman"/>
                <w:color w:val="000000"/>
              </w:rPr>
            </w:pPr>
            <w:r w:rsidRPr="009102C2">
              <w:rPr>
                <w:rFonts w:eastAsia="Times New Roman"/>
                <w:color w:val="000000"/>
              </w:rPr>
              <w:t> </w:t>
            </w:r>
          </w:p>
        </w:tc>
        <w:tc>
          <w:tcPr>
            <w:tcW w:w="1800" w:type="dxa"/>
            <w:tcBorders>
              <w:top w:val="nil"/>
              <w:left w:val="nil"/>
              <w:bottom w:val="single" w:sz="4" w:space="0" w:color="auto"/>
              <w:right w:val="single" w:sz="4" w:space="0" w:color="auto"/>
            </w:tcBorders>
            <w:shd w:val="clear" w:color="auto" w:fill="auto"/>
            <w:noWrap/>
            <w:vAlign w:val="bottom"/>
          </w:tcPr>
          <w:p w:rsidR="009B2D51" w:rsidRPr="009102C2" w:rsidRDefault="009B2D51" w:rsidP="009B2D51">
            <w:pPr>
              <w:spacing w:after="0" w:line="240" w:lineRule="auto"/>
              <w:rPr>
                <w:rFonts w:eastAsia="Times New Roman"/>
                <w:color w:val="000000"/>
              </w:rPr>
            </w:pPr>
            <w:r w:rsidRPr="009102C2">
              <w:rPr>
                <w:rFonts w:eastAsia="Times New Roman"/>
                <w:color w:val="000000"/>
              </w:rPr>
              <w:t xml:space="preserve"> $   </w:t>
            </w:r>
            <w:r>
              <w:rPr>
                <w:rFonts w:eastAsia="Times New Roman"/>
                <w:color w:val="000000"/>
              </w:rPr>
              <w:t xml:space="preserve">  </w:t>
            </w:r>
            <w:r w:rsidRPr="009102C2">
              <w:rPr>
                <w:rFonts w:eastAsia="Times New Roman"/>
                <w:color w:val="000000"/>
              </w:rPr>
              <w:t xml:space="preserve">   </w:t>
            </w:r>
            <w:r>
              <w:rPr>
                <w:rFonts w:eastAsia="Times New Roman"/>
                <w:color w:val="000000"/>
              </w:rPr>
              <w:t>112,971.01</w:t>
            </w:r>
            <w:r w:rsidRPr="009102C2">
              <w:rPr>
                <w:rFonts w:eastAsia="Times New Roman"/>
                <w:color w:val="000000"/>
              </w:rPr>
              <w:t xml:space="preserve"> </w:t>
            </w:r>
          </w:p>
        </w:tc>
        <w:tc>
          <w:tcPr>
            <w:tcW w:w="1800" w:type="dxa"/>
            <w:tcBorders>
              <w:top w:val="nil"/>
              <w:left w:val="nil"/>
              <w:bottom w:val="single" w:sz="4" w:space="0" w:color="auto"/>
              <w:right w:val="single" w:sz="4" w:space="0" w:color="auto"/>
            </w:tcBorders>
          </w:tcPr>
          <w:p w:rsidR="009B2D51" w:rsidRDefault="009B2D51" w:rsidP="006A4F3E">
            <w:pPr>
              <w:spacing w:after="0" w:line="240" w:lineRule="auto"/>
              <w:rPr>
                <w:rFonts w:eastAsia="Times New Roman"/>
                <w:color w:val="000000"/>
              </w:rPr>
            </w:pPr>
          </w:p>
        </w:tc>
        <w:tc>
          <w:tcPr>
            <w:tcW w:w="1800" w:type="dxa"/>
            <w:vMerge/>
            <w:tcBorders>
              <w:left w:val="nil"/>
              <w:bottom w:val="single" w:sz="4" w:space="0" w:color="auto"/>
              <w:right w:val="single" w:sz="4" w:space="0" w:color="auto"/>
            </w:tcBorders>
            <w:shd w:val="pct15" w:color="auto" w:fill="auto"/>
          </w:tcPr>
          <w:p w:rsidR="009B2D51" w:rsidRDefault="009B2D51" w:rsidP="006A4F3E">
            <w:pPr>
              <w:spacing w:after="0" w:line="240" w:lineRule="auto"/>
              <w:rPr>
                <w:rFonts w:eastAsia="Times New Roman"/>
                <w:color w:val="000000"/>
              </w:rPr>
            </w:pPr>
          </w:p>
        </w:tc>
      </w:tr>
      <w:tr w:rsidR="009B2D51" w:rsidRPr="009102C2" w:rsidTr="009B2D51">
        <w:trPr>
          <w:trHeight w:val="300"/>
        </w:trPr>
        <w:tc>
          <w:tcPr>
            <w:tcW w:w="3510" w:type="dxa"/>
            <w:tcBorders>
              <w:top w:val="nil"/>
              <w:left w:val="single" w:sz="4" w:space="0" w:color="auto"/>
              <w:bottom w:val="single" w:sz="4" w:space="0" w:color="auto"/>
              <w:right w:val="single" w:sz="4" w:space="0" w:color="auto"/>
            </w:tcBorders>
            <w:shd w:val="clear" w:color="000000" w:fill="D9D9D9"/>
            <w:noWrap/>
            <w:vAlign w:val="bottom"/>
            <w:hideMark/>
          </w:tcPr>
          <w:p w:rsidR="009B2D51" w:rsidRPr="009102C2" w:rsidRDefault="009B2D51" w:rsidP="00B931E6">
            <w:pPr>
              <w:spacing w:after="0" w:line="240" w:lineRule="auto"/>
              <w:rPr>
                <w:rFonts w:eastAsia="Times New Roman"/>
                <w:color w:val="000000"/>
              </w:rPr>
            </w:pPr>
            <w:r>
              <w:rPr>
                <w:rFonts w:eastAsia="Times New Roman"/>
                <w:color w:val="000000"/>
              </w:rPr>
              <w:t>CHA Stuart Parker Rehabilitation</w:t>
            </w:r>
          </w:p>
        </w:tc>
        <w:tc>
          <w:tcPr>
            <w:tcW w:w="1890" w:type="dxa"/>
            <w:tcBorders>
              <w:top w:val="nil"/>
              <w:left w:val="nil"/>
              <w:bottom w:val="single" w:sz="4" w:space="0" w:color="auto"/>
              <w:right w:val="single" w:sz="4" w:space="0" w:color="auto"/>
            </w:tcBorders>
            <w:shd w:val="clear" w:color="auto" w:fill="auto"/>
            <w:noWrap/>
            <w:vAlign w:val="bottom"/>
            <w:hideMark/>
          </w:tcPr>
          <w:p w:rsidR="009B2D51" w:rsidRPr="009102C2" w:rsidRDefault="009B2D51" w:rsidP="00B931E6">
            <w:pPr>
              <w:spacing w:after="0" w:line="240" w:lineRule="auto"/>
              <w:rPr>
                <w:rFonts w:eastAsia="Times New Roman"/>
                <w:color w:val="000000"/>
              </w:rPr>
            </w:pPr>
          </w:p>
        </w:tc>
        <w:tc>
          <w:tcPr>
            <w:tcW w:w="1800" w:type="dxa"/>
            <w:tcBorders>
              <w:top w:val="nil"/>
              <w:left w:val="nil"/>
              <w:bottom w:val="single" w:sz="4" w:space="0" w:color="auto"/>
              <w:right w:val="single" w:sz="4" w:space="0" w:color="auto"/>
            </w:tcBorders>
            <w:shd w:val="clear" w:color="auto" w:fill="auto"/>
            <w:noWrap/>
            <w:vAlign w:val="bottom"/>
            <w:hideMark/>
          </w:tcPr>
          <w:p w:rsidR="009B2D51" w:rsidRPr="009102C2" w:rsidRDefault="009B2D51" w:rsidP="009B2D51">
            <w:pPr>
              <w:spacing w:after="0" w:line="240" w:lineRule="auto"/>
              <w:rPr>
                <w:rFonts w:eastAsia="Times New Roman"/>
                <w:color w:val="000000"/>
              </w:rPr>
            </w:pPr>
            <w:r>
              <w:rPr>
                <w:rFonts w:eastAsia="Times New Roman"/>
                <w:color w:val="000000"/>
              </w:rPr>
              <w:t xml:space="preserve"> $        226,750.00</w:t>
            </w:r>
          </w:p>
        </w:tc>
        <w:tc>
          <w:tcPr>
            <w:tcW w:w="1800" w:type="dxa"/>
            <w:tcBorders>
              <w:top w:val="nil"/>
              <w:left w:val="nil"/>
              <w:bottom w:val="single" w:sz="4" w:space="0" w:color="auto"/>
              <w:right w:val="single" w:sz="4" w:space="0" w:color="auto"/>
            </w:tcBorders>
          </w:tcPr>
          <w:p w:rsidR="009B2D51" w:rsidRPr="009102C2" w:rsidRDefault="009B2D51" w:rsidP="00BF47D5">
            <w:pPr>
              <w:spacing w:after="0" w:line="240" w:lineRule="auto"/>
              <w:rPr>
                <w:rFonts w:eastAsia="Times New Roman"/>
                <w:color w:val="000000"/>
              </w:rPr>
            </w:pPr>
          </w:p>
        </w:tc>
        <w:tc>
          <w:tcPr>
            <w:tcW w:w="1800" w:type="dxa"/>
            <w:vMerge/>
            <w:tcBorders>
              <w:left w:val="nil"/>
              <w:bottom w:val="single" w:sz="4" w:space="0" w:color="auto"/>
              <w:right w:val="single" w:sz="4" w:space="0" w:color="auto"/>
            </w:tcBorders>
            <w:shd w:val="pct15" w:color="auto" w:fill="auto"/>
          </w:tcPr>
          <w:p w:rsidR="009B2D51" w:rsidRPr="009102C2" w:rsidRDefault="009B2D51" w:rsidP="00BF47D5">
            <w:pPr>
              <w:spacing w:after="0" w:line="240" w:lineRule="auto"/>
              <w:rPr>
                <w:rFonts w:eastAsia="Times New Roman"/>
                <w:color w:val="000000"/>
              </w:rPr>
            </w:pPr>
          </w:p>
        </w:tc>
      </w:tr>
      <w:tr w:rsidR="009B2D51" w:rsidRPr="009102C2" w:rsidTr="009B2D51">
        <w:trPr>
          <w:trHeight w:val="300"/>
        </w:trPr>
        <w:tc>
          <w:tcPr>
            <w:tcW w:w="3510" w:type="dxa"/>
            <w:tcBorders>
              <w:top w:val="nil"/>
              <w:left w:val="single" w:sz="4" w:space="0" w:color="auto"/>
              <w:bottom w:val="single" w:sz="4" w:space="0" w:color="auto"/>
              <w:right w:val="single" w:sz="4" w:space="0" w:color="auto"/>
            </w:tcBorders>
            <w:shd w:val="clear" w:color="000000" w:fill="D9D9D9"/>
            <w:noWrap/>
            <w:vAlign w:val="bottom"/>
          </w:tcPr>
          <w:p w:rsidR="009B2D51" w:rsidRPr="009102C2" w:rsidRDefault="009B2D51" w:rsidP="00B931E6">
            <w:pPr>
              <w:spacing w:after="0" w:line="240" w:lineRule="auto"/>
              <w:rPr>
                <w:rFonts w:eastAsia="Times New Roman"/>
                <w:color w:val="000000"/>
              </w:rPr>
            </w:pPr>
            <w:r>
              <w:rPr>
                <w:rFonts w:eastAsia="Times New Roman"/>
                <w:color w:val="000000"/>
              </w:rPr>
              <w:t>JES Dev Co, Inc.  Gentry Estates II</w:t>
            </w:r>
          </w:p>
        </w:tc>
        <w:tc>
          <w:tcPr>
            <w:tcW w:w="1890" w:type="dxa"/>
            <w:tcBorders>
              <w:top w:val="nil"/>
              <w:left w:val="nil"/>
              <w:bottom w:val="single" w:sz="4" w:space="0" w:color="auto"/>
              <w:right w:val="single" w:sz="4" w:space="0" w:color="auto"/>
            </w:tcBorders>
            <w:shd w:val="clear" w:color="auto" w:fill="auto"/>
            <w:noWrap/>
            <w:vAlign w:val="bottom"/>
          </w:tcPr>
          <w:p w:rsidR="009B2D51" w:rsidRPr="009102C2" w:rsidRDefault="009B2D51" w:rsidP="00B931E6">
            <w:pPr>
              <w:spacing w:after="0" w:line="240" w:lineRule="auto"/>
              <w:rPr>
                <w:rFonts w:eastAsia="Times New Roman"/>
                <w:color w:val="000000"/>
              </w:rPr>
            </w:pPr>
          </w:p>
        </w:tc>
        <w:tc>
          <w:tcPr>
            <w:tcW w:w="1800" w:type="dxa"/>
            <w:tcBorders>
              <w:top w:val="nil"/>
              <w:left w:val="nil"/>
              <w:bottom w:val="single" w:sz="4" w:space="0" w:color="auto"/>
              <w:right w:val="single" w:sz="4" w:space="0" w:color="auto"/>
            </w:tcBorders>
            <w:shd w:val="clear" w:color="auto" w:fill="auto"/>
            <w:noWrap/>
            <w:vAlign w:val="bottom"/>
          </w:tcPr>
          <w:p w:rsidR="009B2D51" w:rsidRPr="009102C2" w:rsidRDefault="009B2D51" w:rsidP="009B2D51">
            <w:pPr>
              <w:spacing w:after="0" w:line="240" w:lineRule="auto"/>
              <w:rPr>
                <w:rFonts w:eastAsia="Times New Roman"/>
                <w:color w:val="000000"/>
              </w:rPr>
            </w:pPr>
            <w:r>
              <w:rPr>
                <w:rFonts w:eastAsia="Times New Roman"/>
                <w:color w:val="000000"/>
              </w:rPr>
              <w:t xml:space="preserve"> $        100,000.00</w:t>
            </w:r>
          </w:p>
        </w:tc>
        <w:tc>
          <w:tcPr>
            <w:tcW w:w="1800" w:type="dxa"/>
            <w:tcBorders>
              <w:top w:val="nil"/>
              <w:left w:val="nil"/>
              <w:bottom w:val="single" w:sz="4" w:space="0" w:color="auto"/>
              <w:right w:val="single" w:sz="4" w:space="0" w:color="auto"/>
            </w:tcBorders>
          </w:tcPr>
          <w:p w:rsidR="009B2D51" w:rsidRDefault="009B2D51" w:rsidP="00BF47D5">
            <w:pPr>
              <w:spacing w:after="0" w:line="240" w:lineRule="auto"/>
              <w:rPr>
                <w:rFonts w:eastAsia="Times New Roman"/>
                <w:color w:val="000000"/>
              </w:rPr>
            </w:pPr>
          </w:p>
        </w:tc>
        <w:tc>
          <w:tcPr>
            <w:tcW w:w="1800" w:type="dxa"/>
            <w:vMerge/>
            <w:tcBorders>
              <w:left w:val="nil"/>
              <w:bottom w:val="single" w:sz="4" w:space="0" w:color="auto"/>
              <w:right w:val="single" w:sz="4" w:space="0" w:color="auto"/>
            </w:tcBorders>
            <w:shd w:val="pct15" w:color="auto" w:fill="auto"/>
          </w:tcPr>
          <w:p w:rsidR="009B2D51" w:rsidRDefault="009B2D51" w:rsidP="00BF47D5">
            <w:pPr>
              <w:spacing w:after="0" w:line="240" w:lineRule="auto"/>
              <w:rPr>
                <w:rFonts w:eastAsia="Times New Roman"/>
                <w:color w:val="000000"/>
              </w:rPr>
            </w:pPr>
          </w:p>
        </w:tc>
      </w:tr>
      <w:tr w:rsidR="009B2D51" w:rsidRPr="009102C2" w:rsidTr="009B2D51">
        <w:trPr>
          <w:trHeight w:val="300"/>
        </w:trPr>
        <w:tc>
          <w:tcPr>
            <w:tcW w:w="3510" w:type="dxa"/>
            <w:tcBorders>
              <w:top w:val="nil"/>
              <w:left w:val="single" w:sz="4" w:space="0" w:color="auto"/>
              <w:bottom w:val="single" w:sz="4" w:space="0" w:color="auto"/>
              <w:right w:val="single" w:sz="4" w:space="0" w:color="auto"/>
            </w:tcBorders>
            <w:shd w:val="clear" w:color="000000" w:fill="D9D9D9"/>
            <w:noWrap/>
            <w:vAlign w:val="bottom"/>
          </w:tcPr>
          <w:p w:rsidR="009B2D51" w:rsidRPr="009102C2" w:rsidRDefault="009B2D51" w:rsidP="00B931E6">
            <w:pPr>
              <w:spacing w:after="0" w:line="240" w:lineRule="auto"/>
              <w:rPr>
                <w:rFonts w:eastAsia="Times New Roman"/>
                <w:color w:val="000000"/>
              </w:rPr>
            </w:pPr>
            <w:r w:rsidRPr="009102C2">
              <w:rPr>
                <w:rFonts w:eastAsia="Times New Roman"/>
                <w:color w:val="000000"/>
              </w:rPr>
              <w:t>Tenant Based Rental Assistance</w:t>
            </w:r>
          </w:p>
        </w:tc>
        <w:tc>
          <w:tcPr>
            <w:tcW w:w="1890" w:type="dxa"/>
            <w:tcBorders>
              <w:top w:val="nil"/>
              <w:left w:val="nil"/>
              <w:bottom w:val="single" w:sz="4" w:space="0" w:color="auto"/>
              <w:right w:val="single" w:sz="4" w:space="0" w:color="auto"/>
            </w:tcBorders>
            <w:shd w:val="clear" w:color="auto" w:fill="auto"/>
            <w:noWrap/>
            <w:vAlign w:val="bottom"/>
          </w:tcPr>
          <w:p w:rsidR="009B2D51" w:rsidRPr="009102C2" w:rsidRDefault="009B2D51" w:rsidP="00B931E6">
            <w:pPr>
              <w:spacing w:after="0" w:line="240" w:lineRule="auto"/>
              <w:rPr>
                <w:rFonts w:eastAsia="Times New Roman"/>
                <w:color w:val="000000"/>
              </w:rPr>
            </w:pPr>
            <w:r w:rsidRPr="009102C2">
              <w:rPr>
                <w:rFonts w:eastAsia="Times New Roman"/>
                <w:color w:val="000000"/>
              </w:rPr>
              <w:t> </w:t>
            </w:r>
          </w:p>
        </w:tc>
        <w:tc>
          <w:tcPr>
            <w:tcW w:w="1800" w:type="dxa"/>
            <w:tcBorders>
              <w:top w:val="nil"/>
              <w:left w:val="nil"/>
              <w:bottom w:val="single" w:sz="4" w:space="0" w:color="auto"/>
              <w:right w:val="single" w:sz="4" w:space="0" w:color="auto"/>
            </w:tcBorders>
            <w:shd w:val="clear" w:color="auto" w:fill="auto"/>
            <w:noWrap/>
            <w:vAlign w:val="bottom"/>
          </w:tcPr>
          <w:p w:rsidR="009B2D51" w:rsidRPr="009102C2" w:rsidRDefault="009B2D51" w:rsidP="009B2D51">
            <w:pPr>
              <w:spacing w:after="0" w:line="240" w:lineRule="auto"/>
              <w:rPr>
                <w:rFonts w:eastAsia="Times New Roman"/>
                <w:color w:val="000000"/>
              </w:rPr>
            </w:pPr>
            <w:r w:rsidRPr="009102C2">
              <w:rPr>
                <w:rFonts w:eastAsia="Times New Roman"/>
                <w:color w:val="000000"/>
              </w:rPr>
              <w:t xml:space="preserve"> $          </w:t>
            </w:r>
            <w:r>
              <w:rPr>
                <w:rFonts w:eastAsia="Times New Roman"/>
                <w:color w:val="000000"/>
              </w:rPr>
              <w:t>13</w:t>
            </w:r>
            <w:r w:rsidRPr="009102C2">
              <w:rPr>
                <w:rFonts w:eastAsia="Times New Roman"/>
                <w:color w:val="000000"/>
              </w:rPr>
              <w:t>,</w:t>
            </w:r>
            <w:r>
              <w:rPr>
                <w:rFonts w:eastAsia="Times New Roman"/>
                <w:color w:val="000000"/>
              </w:rPr>
              <w:t>034</w:t>
            </w:r>
            <w:r w:rsidRPr="009102C2">
              <w:rPr>
                <w:rFonts w:eastAsia="Times New Roman"/>
                <w:color w:val="000000"/>
              </w:rPr>
              <w:t xml:space="preserve">.00 </w:t>
            </w:r>
          </w:p>
        </w:tc>
        <w:tc>
          <w:tcPr>
            <w:tcW w:w="1800" w:type="dxa"/>
            <w:tcBorders>
              <w:top w:val="nil"/>
              <w:left w:val="nil"/>
              <w:bottom w:val="single" w:sz="4" w:space="0" w:color="auto"/>
              <w:right w:val="single" w:sz="4" w:space="0" w:color="auto"/>
            </w:tcBorders>
          </w:tcPr>
          <w:p w:rsidR="009B2D51" w:rsidRDefault="009B2D51" w:rsidP="00BF47D5">
            <w:pPr>
              <w:spacing w:after="0" w:line="240" w:lineRule="auto"/>
              <w:rPr>
                <w:rFonts w:eastAsia="Times New Roman"/>
                <w:color w:val="000000"/>
              </w:rPr>
            </w:pPr>
          </w:p>
        </w:tc>
        <w:tc>
          <w:tcPr>
            <w:tcW w:w="1800" w:type="dxa"/>
            <w:vMerge/>
            <w:tcBorders>
              <w:left w:val="nil"/>
              <w:bottom w:val="single" w:sz="4" w:space="0" w:color="auto"/>
              <w:right w:val="single" w:sz="4" w:space="0" w:color="auto"/>
            </w:tcBorders>
            <w:shd w:val="pct15" w:color="auto" w:fill="auto"/>
          </w:tcPr>
          <w:p w:rsidR="009B2D51" w:rsidRDefault="009B2D51" w:rsidP="00BF47D5">
            <w:pPr>
              <w:spacing w:after="0" w:line="240" w:lineRule="auto"/>
              <w:rPr>
                <w:rFonts w:eastAsia="Times New Roman"/>
                <w:color w:val="000000"/>
              </w:rPr>
            </w:pPr>
          </w:p>
        </w:tc>
      </w:tr>
      <w:tr w:rsidR="009B2D51" w:rsidRPr="009102C2" w:rsidTr="009B2D51">
        <w:trPr>
          <w:trHeight w:val="300"/>
        </w:trPr>
        <w:tc>
          <w:tcPr>
            <w:tcW w:w="3510" w:type="dxa"/>
            <w:tcBorders>
              <w:top w:val="nil"/>
              <w:left w:val="single" w:sz="4" w:space="0" w:color="auto"/>
              <w:bottom w:val="single" w:sz="4" w:space="0" w:color="auto"/>
              <w:right w:val="single" w:sz="4" w:space="0" w:color="auto"/>
            </w:tcBorders>
            <w:shd w:val="clear" w:color="000000" w:fill="D9D9D9"/>
            <w:noWrap/>
            <w:vAlign w:val="bottom"/>
            <w:hideMark/>
          </w:tcPr>
          <w:p w:rsidR="009B2D51" w:rsidRPr="009102C2" w:rsidRDefault="009B2D51" w:rsidP="00B931E6">
            <w:pPr>
              <w:spacing w:after="0" w:line="240" w:lineRule="auto"/>
              <w:rPr>
                <w:rFonts w:eastAsia="Times New Roman"/>
                <w:color w:val="000000"/>
              </w:rPr>
            </w:pPr>
          </w:p>
        </w:tc>
        <w:tc>
          <w:tcPr>
            <w:tcW w:w="1890" w:type="dxa"/>
            <w:tcBorders>
              <w:top w:val="nil"/>
              <w:left w:val="nil"/>
              <w:bottom w:val="single" w:sz="4" w:space="0" w:color="auto"/>
              <w:right w:val="single" w:sz="4" w:space="0" w:color="auto"/>
            </w:tcBorders>
            <w:shd w:val="clear" w:color="auto" w:fill="auto"/>
            <w:noWrap/>
            <w:vAlign w:val="bottom"/>
            <w:hideMark/>
          </w:tcPr>
          <w:p w:rsidR="009B2D51" w:rsidRPr="009102C2" w:rsidRDefault="009B2D51" w:rsidP="00B931E6">
            <w:pPr>
              <w:spacing w:after="0" w:line="240" w:lineRule="auto"/>
              <w:rPr>
                <w:rFonts w:eastAsia="Times New Roman"/>
                <w:color w:val="000000"/>
              </w:rPr>
            </w:pPr>
          </w:p>
        </w:tc>
        <w:tc>
          <w:tcPr>
            <w:tcW w:w="1800" w:type="dxa"/>
            <w:tcBorders>
              <w:top w:val="nil"/>
              <w:left w:val="nil"/>
              <w:bottom w:val="single" w:sz="4" w:space="0" w:color="auto"/>
              <w:right w:val="single" w:sz="4" w:space="0" w:color="auto"/>
            </w:tcBorders>
            <w:shd w:val="clear" w:color="auto" w:fill="auto"/>
            <w:noWrap/>
            <w:vAlign w:val="bottom"/>
            <w:hideMark/>
          </w:tcPr>
          <w:p w:rsidR="009B2D51" w:rsidRPr="009102C2" w:rsidRDefault="009B2D51" w:rsidP="00A35DC2">
            <w:pPr>
              <w:spacing w:after="0" w:line="240" w:lineRule="auto"/>
              <w:rPr>
                <w:rFonts w:eastAsia="Times New Roman"/>
                <w:color w:val="000000"/>
              </w:rPr>
            </w:pPr>
          </w:p>
        </w:tc>
        <w:tc>
          <w:tcPr>
            <w:tcW w:w="1800" w:type="dxa"/>
            <w:tcBorders>
              <w:top w:val="nil"/>
              <w:left w:val="nil"/>
              <w:bottom w:val="single" w:sz="4" w:space="0" w:color="auto"/>
              <w:right w:val="single" w:sz="4" w:space="0" w:color="auto"/>
            </w:tcBorders>
          </w:tcPr>
          <w:p w:rsidR="009B2D51" w:rsidRPr="009102C2" w:rsidRDefault="009B2D51" w:rsidP="00BF47D5">
            <w:pPr>
              <w:spacing w:after="0" w:line="240" w:lineRule="auto"/>
              <w:rPr>
                <w:rFonts w:eastAsia="Times New Roman"/>
                <w:color w:val="000000"/>
              </w:rPr>
            </w:pPr>
          </w:p>
        </w:tc>
        <w:tc>
          <w:tcPr>
            <w:tcW w:w="1800" w:type="dxa"/>
            <w:vMerge/>
            <w:tcBorders>
              <w:left w:val="nil"/>
              <w:bottom w:val="single" w:sz="4" w:space="0" w:color="auto"/>
              <w:right w:val="single" w:sz="4" w:space="0" w:color="auto"/>
            </w:tcBorders>
            <w:shd w:val="pct15" w:color="auto" w:fill="auto"/>
          </w:tcPr>
          <w:p w:rsidR="009B2D51" w:rsidRPr="009102C2" w:rsidRDefault="009B2D51" w:rsidP="00BF47D5">
            <w:pPr>
              <w:spacing w:after="0" w:line="240" w:lineRule="auto"/>
              <w:rPr>
                <w:rFonts w:eastAsia="Times New Roman"/>
                <w:color w:val="000000"/>
              </w:rPr>
            </w:pPr>
          </w:p>
        </w:tc>
      </w:tr>
      <w:tr w:rsidR="009B2D51" w:rsidRPr="009102C2" w:rsidTr="009B2D51">
        <w:trPr>
          <w:trHeight w:val="300"/>
        </w:trPr>
        <w:tc>
          <w:tcPr>
            <w:tcW w:w="3510" w:type="dxa"/>
            <w:tcBorders>
              <w:top w:val="single" w:sz="4" w:space="0" w:color="auto"/>
              <w:left w:val="single" w:sz="4" w:space="0" w:color="auto"/>
              <w:bottom w:val="single" w:sz="4" w:space="0" w:color="auto"/>
              <w:right w:val="single" w:sz="4" w:space="0" w:color="auto"/>
            </w:tcBorders>
            <w:shd w:val="pct20" w:color="auto" w:fill="auto"/>
            <w:noWrap/>
            <w:vAlign w:val="bottom"/>
          </w:tcPr>
          <w:p w:rsidR="009B2D51" w:rsidRPr="009102C2" w:rsidRDefault="009B2D51" w:rsidP="00B931E6">
            <w:pPr>
              <w:spacing w:after="0" w:line="240" w:lineRule="auto"/>
              <w:rPr>
                <w:rFonts w:eastAsia="Times New Roman"/>
                <w:color w:val="000000"/>
              </w:rPr>
            </w:pPr>
            <w:r w:rsidRPr="009C2002">
              <w:rPr>
                <w:rFonts w:eastAsia="Times New Roman"/>
                <w:b/>
                <w:color w:val="000000"/>
              </w:rPr>
              <w:t> </w:t>
            </w:r>
            <w:r w:rsidRPr="00656AF3">
              <w:rPr>
                <w:rFonts w:eastAsia="Times New Roman"/>
                <w:b/>
                <w:color w:val="000000"/>
                <w:shd w:val="pct15" w:color="auto" w:fill="auto"/>
              </w:rPr>
              <w:t>Total</w:t>
            </w:r>
          </w:p>
        </w:tc>
        <w:tc>
          <w:tcPr>
            <w:tcW w:w="1890" w:type="dxa"/>
            <w:tcBorders>
              <w:top w:val="nil"/>
              <w:left w:val="nil"/>
              <w:bottom w:val="single" w:sz="4" w:space="0" w:color="auto"/>
              <w:right w:val="single" w:sz="4" w:space="0" w:color="auto"/>
            </w:tcBorders>
            <w:shd w:val="clear" w:color="auto" w:fill="auto"/>
            <w:noWrap/>
          </w:tcPr>
          <w:p w:rsidR="009B2D51" w:rsidRPr="009B2D51" w:rsidRDefault="009B2D51" w:rsidP="009B2D51">
            <w:pPr>
              <w:spacing w:after="0" w:line="240" w:lineRule="auto"/>
              <w:rPr>
                <w:rFonts w:eastAsia="Times New Roman"/>
                <w:color w:val="000000"/>
              </w:rPr>
            </w:pPr>
            <w:r w:rsidRPr="009B2D51">
              <w:rPr>
                <w:rFonts w:eastAsia="Times New Roman"/>
                <w:bCs/>
                <w:color w:val="000000"/>
              </w:rPr>
              <w:t xml:space="preserve"> $      1,193,130.37 </w:t>
            </w:r>
          </w:p>
        </w:tc>
        <w:tc>
          <w:tcPr>
            <w:tcW w:w="1800" w:type="dxa"/>
            <w:tcBorders>
              <w:top w:val="nil"/>
              <w:left w:val="nil"/>
              <w:bottom w:val="single" w:sz="4" w:space="0" w:color="auto"/>
              <w:right w:val="single" w:sz="4" w:space="0" w:color="auto"/>
            </w:tcBorders>
            <w:shd w:val="clear" w:color="auto" w:fill="auto"/>
            <w:noWrap/>
          </w:tcPr>
          <w:p w:rsidR="009B2D51" w:rsidRPr="009B2D51" w:rsidRDefault="009B2D51" w:rsidP="009B2D51">
            <w:pPr>
              <w:spacing w:after="0" w:line="240" w:lineRule="auto"/>
              <w:rPr>
                <w:rFonts w:eastAsia="Times New Roman"/>
                <w:color w:val="000000"/>
              </w:rPr>
            </w:pPr>
            <w:r w:rsidRPr="009B2D51">
              <w:rPr>
                <w:rFonts w:eastAsia="Times New Roman"/>
                <w:bCs/>
                <w:color w:val="000000"/>
              </w:rPr>
              <w:t xml:space="preserve"> $        714,718.25 </w:t>
            </w:r>
          </w:p>
        </w:tc>
        <w:tc>
          <w:tcPr>
            <w:tcW w:w="1800" w:type="dxa"/>
            <w:tcBorders>
              <w:top w:val="nil"/>
              <w:left w:val="nil"/>
              <w:bottom w:val="single" w:sz="4" w:space="0" w:color="auto"/>
              <w:right w:val="single" w:sz="4" w:space="0" w:color="auto"/>
            </w:tcBorders>
          </w:tcPr>
          <w:p w:rsidR="009B2D51" w:rsidRPr="009B2D51" w:rsidRDefault="009B2D51" w:rsidP="009B2D51">
            <w:pPr>
              <w:spacing w:after="0" w:line="240" w:lineRule="auto"/>
              <w:rPr>
                <w:rFonts w:eastAsia="Times New Roman"/>
                <w:color w:val="000000"/>
              </w:rPr>
            </w:pPr>
            <w:r w:rsidRPr="009B2D51">
              <w:rPr>
                <w:rFonts w:eastAsia="Times New Roman"/>
                <w:color w:val="000000"/>
              </w:rPr>
              <w:t>$         329,047.15</w:t>
            </w:r>
          </w:p>
        </w:tc>
        <w:tc>
          <w:tcPr>
            <w:tcW w:w="1800" w:type="dxa"/>
            <w:tcBorders>
              <w:top w:val="nil"/>
              <w:left w:val="nil"/>
              <w:bottom w:val="single" w:sz="4" w:space="0" w:color="auto"/>
              <w:right w:val="single" w:sz="4" w:space="0" w:color="auto"/>
            </w:tcBorders>
          </w:tcPr>
          <w:p w:rsidR="009B2D51" w:rsidRPr="009B2D51" w:rsidRDefault="009B2D51" w:rsidP="009B2D51">
            <w:pPr>
              <w:spacing w:after="0" w:line="240" w:lineRule="auto"/>
              <w:rPr>
                <w:rFonts w:eastAsia="Times New Roman"/>
                <w:b/>
                <w:color w:val="000000"/>
              </w:rPr>
            </w:pPr>
            <w:r>
              <w:rPr>
                <w:rFonts w:eastAsia="Times New Roman"/>
                <w:b/>
                <w:color w:val="000000"/>
              </w:rPr>
              <w:t>$     2,236,895.77</w:t>
            </w:r>
          </w:p>
        </w:tc>
      </w:tr>
    </w:tbl>
    <w:p w:rsidR="00656AF3" w:rsidRDefault="00656AF3" w:rsidP="00B931E6"/>
    <w:p w:rsidR="00BF47D5" w:rsidRDefault="00B931E6" w:rsidP="00BF47D5">
      <w:r>
        <w:t>The following items respond to CDBG and HOME Program regulation specific reporting criteria.</w:t>
      </w:r>
    </w:p>
    <w:p w:rsidR="00BF47D5" w:rsidRDefault="00BF47D5" w:rsidP="00BF47D5">
      <w:pPr>
        <w:sectPr w:rsidR="00BF47D5" w:rsidSect="00BF47D5">
          <w:footerReference w:type="default" r:id="rId9"/>
          <w:pgSz w:w="12240" w:h="15840"/>
          <w:pgMar w:top="1440" w:right="1440" w:bottom="1440" w:left="1440" w:header="720" w:footer="720" w:gutter="0"/>
          <w:cols w:space="720"/>
          <w:docGrid w:linePitch="360"/>
        </w:sectPr>
      </w:pPr>
    </w:p>
    <w:p w:rsidR="00656AF3" w:rsidRDefault="00656AF3" w:rsidP="00656AF3">
      <w:pPr>
        <w:pStyle w:val="Heading2"/>
        <w:rPr>
          <w:rFonts w:ascii="Calibri" w:hAnsi="Calibri"/>
          <w:i w:val="0"/>
        </w:rPr>
      </w:pPr>
      <w:r>
        <w:rPr>
          <w:rFonts w:ascii="Calibri" w:hAnsi="Calibri"/>
          <w:i w:val="0"/>
        </w:rPr>
        <w:t>CR-05 - Goals and Outcomes</w:t>
      </w:r>
    </w:p>
    <w:p w:rsidR="00656AF3" w:rsidRDefault="00656AF3" w:rsidP="00656AF3">
      <w:pPr>
        <w:keepNext/>
        <w:widowControl w:val="0"/>
        <w:spacing w:after="0" w:line="240" w:lineRule="auto"/>
        <w:rPr>
          <w:b/>
          <w:sz w:val="28"/>
          <w:szCs w:val="28"/>
        </w:rPr>
      </w:pPr>
      <w:r>
        <w:rPr>
          <w:b/>
          <w:sz w:val="24"/>
          <w:szCs w:val="24"/>
        </w:rPr>
        <w:t>Progress the jurisdiction has made in carrying out its strategic plan and its action plan.  91.520(a)</w:t>
      </w:r>
      <w:r>
        <w:rPr>
          <w:b/>
          <w:sz w:val="28"/>
          <w:szCs w:val="28"/>
        </w:rPr>
        <w:t xml:space="preserve"> </w:t>
      </w:r>
    </w:p>
    <w:p w:rsidR="001C203A" w:rsidRDefault="001C203A" w:rsidP="001C203A">
      <w:pPr>
        <w:widowControl w:val="0"/>
        <w:spacing w:after="0" w:line="240" w:lineRule="auto"/>
      </w:pPr>
    </w:p>
    <w:p w:rsidR="00656AF3" w:rsidRPr="002A2292" w:rsidRDefault="002A2292" w:rsidP="001C203A">
      <w:pPr>
        <w:widowControl w:val="0"/>
        <w:spacing w:after="0" w:line="240" w:lineRule="auto"/>
        <w:rPr>
          <w:rFonts w:asciiTheme="minorHAnsi" w:hAnsiTheme="minorHAnsi"/>
        </w:rPr>
      </w:pPr>
      <w:r>
        <w:t>The City expended $1,193</w:t>
      </w:r>
      <w:r w:rsidR="00656AF3">
        <w:t>,</w:t>
      </w:r>
      <w:r>
        <w:t>130.37</w:t>
      </w:r>
      <w:r w:rsidR="00656AF3">
        <w:t xml:space="preserve"> in CDBG funds and $</w:t>
      </w:r>
      <w:r>
        <w:t>714</w:t>
      </w:r>
      <w:r w:rsidR="00656AF3">
        <w:t>,</w:t>
      </w:r>
      <w:r>
        <w:t>718.25</w:t>
      </w:r>
      <w:r w:rsidR="00656AF3">
        <w:t xml:space="preserve"> in HOME funds during FY 201</w:t>
      </w:r>
      <w:r>
        <w:t>6</w:t>
      </w:r>
      <w:r w:rsidR="00656AF3">
        <w:t xml:space="preserve">.  Major project completions include the </w:t>
      </w:r>
      <w:r w:rsidR="00656AF3" w:rsidRPr="002A2292">
        <w:rPr>
          <w:rFonts w:asciiTheme="minorHAnsi" w:hAnsiTheme="minorHAnsi"/>
        </w:rPr>
        <w:t>following:</w:t>
      </w:r>
    </w:p>
    <w:p w:rsidR="002A2292" w:rsidRPr="002A2292" w:rsidRDefault="002A2292" w:rsidP="002A2292">
      <w:pPr>
        <w:widowControl w:val="0"/>
        <w:numPr>
          <w:ilvl w:val="0"/>
          <w:numId w:val="3"/>
        </w:numPr>
        <w:spacing w:after="0" w:line="240" w:lineRule="auto"/>
        <w:rPr>
          <w:rFonts w:asciiTheme="minorHAnsi" w:hAnsiTheme="minorHAnsi"/>
        </w:rPr>
      </w:pPr>
      <w:r w:rsidRPr="002A2292">
        <w:rPr>
          <w:rFonts w:asciiTheme="minorHAnsi" w:hAnsiTheme="minorHAnsi"/>
        </w:rPr>
        <w:t>Services for Independent Living with the completion of 29 projects improving accessibility and home maintenance of elderly and disabled households.</w:t>
      </w:r>
    </w:p>
    <w:p w:rsidR="002A2292" w:rsidRDefault="002A2292" w:rsidP="002A2292">
      <w:pPr>
        <w:widowControl w:val="0"/>
        <w:numPr>
          <w:ilvl w:val="0"/>
          <w:numId w:val="3"/>
        </w:numPr>
        <w:spacing w:after="0" w:line="240" w:lineRule="auto"/>
        <w:rPr>
          <w:rFonts w:asciiTheme="minorHAnsi" w:hAnsiTheme="minorHAnsi"/>
        </w:rPr>
      </w:pPr>
      <w:r>
        <w:rPr>
          <w:rFonts w:asciiTheme="minorHAnsi" w:hAnsiTheme="minorHAnsi"/>
        </w:rPr>
        <w:t>Significant progress on Welcome Home’s Emergency Shelter for Veterans.</w:t>
      </w:r>
    </w:p>
    <w:p w:rsidR="002A2292" w:rsidRPr="002A2292" w:rsidRDefault="002A2292" w:rsidP="002A2292">
      <w:pPr>
        <w:widowControl w:val="0"/>
        <w:numPr>
          <w:ilvl w:val="0"/>
          <w:numId w:val="3"/>
        </w:numPr>
        <w:spacing w:after="0" w:line="240" w:lineRule="auto"/>
        <w:rPr>
          <w:rFonts w:asciiTheme="minorHAnsi" w:hAnsiTheme="minorHAnsi"/>
        </w:rPr>
      </w:pPr>
      <w:r w:rsidRPr="002A2292">
        <w:rPr>
          <w:rFonts w:asciiTheme="minorHAnsi" w:hAnsiTheme="minorHAnsi"/>
        </w:rPr>
        <w:t>Job Point completion of vocational training for 1</w:t>
      </w:r>
      <w:r w:rsidR="00EF41AF">
        <w:rPr>
          <w:rFonts w:asciiTheme="minorHAnsi" w:hAnsiTheme="minorHAnsi"/>
        </w:rPr>
        <w:t>1</w:t>
      </w:r>
      <w:r w:rsidRPr="002A2292">
        <w:rPr>
          <w:rFonts w:asciiTheme="minorHAnsi" w:hAnsiTheme="minorHAnsi"/>
        </w:rPr>
        <w:t xml:space="preserve"> students.</w:t>
      </w:r>
    </w:p>
    <w:p w:rsidR="002A2292" w:rsidRPr="002A2292" w:rsidRDefault="002A2292" w:rsidP="002A2292">
      <w:pPr>
        <w:widowControl w:val="0"/>
        <w:numPr>
          <w:ilvl w:val="0"/>
          <w:numId w:val="3"/>
        </w:numPr>
        <w:spacing w:after="0" w:line="240" w:lineRule="auto"/>
        <w:rPr>
          <w:rFonts w:asciiTheme="minorHAnsi" w:hAnsiTheme="minorHAnsi"/>
        </w:rPr>
      </w:pPr>
      <w:r w:rsidRPr="002A2292">
        <w:rPr>
          <w:rFonts w:asciiTheme="minorHAnsi" w:hAnsiTheme="minorHAnsi"/>
        </w:rPr>
        <w:t>Grading and site infrastructure progress on Lynn Street homes and neighborhood engagement.</w:t>
      </w:r>
    </w:p>
    <w:p w:rsidR="002A2292" w:rsidRPr="002A2292" w:rsidRDefault="002A2292" w:rsidP="002A2292">
      <w:pPr>
        <w:widowControl w:val="0"/>
        <w:numPr>
          <w:ilvl w:val="0"/>
          <w:numId w:val="3"/>
        </w:numPr>
        <w:spacing w:after="0" w:line="240" w:lineRule="auto"/>
        <w:rPr>
          <w:rFonts w:asciiTheme="minorHAnsi" w:hAnsiTheme="minorHAnsi"/>
        </w:rPr>
      </w:pPr>
      <w:r w:rsidRPr="002A2292">
        <w:rPr>
          <w:rFonts w:asciiTheme="minorHAnsi" w:hAnsiTheme="minorHAnsi"/>
        </w:rPr>
        <w:t>Increased Homeownership Assistance Program participation with 35 participants.</w:t>
      </w:r>
    </w:p>
    <w:p w:rsidR="002A2292" w:rsidRPr="002A2292" w:rsidRDefault="002A2292" w:rsidP="002A2292">
      <w:pPr>
        <w:widowControl w:val="0"/>
        <w:numPr>
          <w:ilvl w:val="0"/>
          <w:numId w:val="3"/>
        </w:numPr>
        <w:spacing w:after="0" w:line="240" w:lineRule="auto"/>
        <w:rPr>
          <w:rFonts w:asciiTheme="minorHAnsi" w:hAnsiTheme="minorHAnsi"/>
        </w:rPr>
      </w:pPr>
      <w:r w:rsidRPr="002A2292">
        <w:rPr>
          <w:rFonts w:asciiTheme="minorHAnsi" w:hAnsiTheme="minorHAnsi"/>
        </w:rPr>
        <w:t>Columbia Housing Authority progress on Stuart Parker Development.</w:t>
      </w:r>
    </w:p>
    <w:p w:rsidR="002A2292" w:rsidRPr="002A2292" w:rsidRDefault="002A2292" w:rsidP="002A2292">
      <w:pPr>
        <w:widowControl w:val="0"/>
        <w:numPr>
          <w:ilvl w:val="0"/>
          <w:numId w:val="3"/>
        </w:numPr>
        <w:spacing w:after="0" w:line="240" w:lineRule="auto"/>
        <w:rPr>
          <w:rFonts w:asciiTheme="minorHAnsi" w:hAnsiTheme="minorHAnsi"/>
        </w:rPr>
      </w:pPr>
      <w:r w:rsidRPr="002A2292">
        <w:rPr>
          <w:rFonts w:asciiTheme="minorHAnsi" w:hAnsiTheme="minorHAnsi"/>
        </w:rPr>
        <w:t>JES Dev Co, Inc. completion of Gentry Estates Phase II.</w:t>
      </w:r>
    </w:p>
    <w:p w:rsidR="002A2292" w:rsidRPr="002A2292" w:rsidRDefault="002A2292" w:rsidP="002A2292">
      <w:pPr>
        <w:widowControl w:val="0"/>
        <w:numPr>
          <w:ilvl w:val="0"/>
          <w:numId w:val="3"/>
        </w:numPr>
        <w:spacing w:after="0" w:line="240" w:lineRule="auto"/>
        <w:rPr>
          <w:rFonts w:asciiTheme="minorHAnsi" w:hAnsiTheme="minorHAnsi"/>
        </w:rPr>
      </w:pPr>
      <w:r w:rsidRPr="002A2292">
        <w:rPr>
          <w:rFonts w:asciiTheme="minorHAnsi" w:hAnsiTheme="minorHAnsi"/>
        </w:rPr>
        <w:t>Significant progress on CMCA’s 3606 Woodside Drive residential construction.</w:t>
      </w:r>
    </w:p>
    <w:p w:rsidR="002A2292" w:rsidRPr="002A2292" w:rsidRDefault="002A2292" w:rsidP="002A2292">
      <w:pPr>
        <w:widowControl w:val="0"/>
        <w:numPr>
          <w:ilvl w:val="0"/>
          <w:numId w:val="3"/>
        </w:numPr>
        <w:spacing w:after="0" w:line="240" w:lineRule="auto"/>
        <w:rPr>
          <w:rFonts w:asciiTheme="minorHAnsi" w:hAnsiTheme="minorHAnsi"/>
        </w:rPr>
      </w:pPr>
      <w:r w:rsidRPr="002A2292">
        <w:rPr>
          <w:rFonts w:asciiTheme="minorHAnsi" w:hAnsiTheme="minorHAnsi"/>
        </w:rPr>
        <w:t>Implementation of Columbia Community Land Trust, Inc.</w:t>
      </w:r>
    </w:p>
    <w:p w:rsidR="002A2292" w:rsidRPr="002A2292" w:rsidRDefault="002A2292" w:rsidP="002A2292">
      <w:pPr>
        <w:widowControl w:val="0"/>
        <w:numPr>
          <w:ilvl w:val="0"/>
          <w:numId w:val="3"/>
        </w:numPr>
        <w:spacing w:after="0" w:line="240" w:lineRule="auto"/>
        <w:rPr>
          <w:rFonts w:asciiTheme="minorHAnsi" w:hAnsiTheme="minorHAnsi"/>
        </w:rPr>
      </w:pPr>
      <w:r w:rsidRPr="002A2292">
        <w:rPr>
          <w:rFonts w:asciiTheme="minorHAnsi" w:hAnsiTheme="minorHAnsi"/>
        </w:rPr>
        <w:t>Implementation of Affordable Housing Permit Fee Waiver and Rebate Ordinance.</w:t>
      </w:r>
    </w:p>
    <w:p w:rsidR="002A2292" w:rsidRPr="002A2292" w:rsidRDefault="002A2292" w:rsidP="002A2292">
      <w:pPr>
        <w:widowControl w:val="0"/>
        <w:numPr>
          <w:ilvl w:val="0"/>
          <w:numId w:val="3"/>
        </w:numPr>
        <w:spacing w:after="0" w:line="240" w:lineRule="auto"/>
        <w:rPr>
          <w:rFonts w:asciiTheme="minorHAnsi" w:hAnsiTheme="minorHAnsi"/>
        </w:rPr>
      </w:pPr>
      <w:r w:rsidRPr="002A2292">
        <w:rPr>
          <w:rFonts w:asciiTheme="minorHAnsi" w:hAnsiTheme="minorHAnsi"/>
        </w:rPr>
        <w:t>Development of the Enhance Your Attic Program in partnership with Water &amp; Light and Sustainability staff.</w:t>
      </w:r>
    </w:p>
    <w:p w:rsidR="002A2292" w:rsidRPr="002A2292" w:rsidRDefault="002A2292" w:rsidP="002A2292">
      <w:pPr>
        <w:widowControl w:val="0"/>
        <w:spacing w:after="0" w:line="240" w:lineRule="auto"/>
      </w:pPr>
    </w:p>
    <w:p w:rsidR="00656AF3" w:rsidRDefault="00656AF3" w:rsidP="002A2292">
      <w:pPr>
        <w:widowControl w:val="0"/>
        <w:spacing w:after="0" w:line="240" w:lineRule="auto"/>
        <w:rPr>
          <w:szCs w:val="24"/>
        </w:rPr>
      </w:pPr>
      <w:r>
        <w:t>Additional initiatives with significant progress in 201</w:t>
      </w:r>
      <w:r w:rsidR="002A2292">
        <w:t>6</w:t>
      </w:r>
      <w:r>
        <w:t xml:space="preserve"> include</w:t>
      </w:r>
      <w:r w:rsidR="002A2292">
        <w:t>d assisting the Heart of Missiouri United Way in planning</w:t>
      </w:r>
      <w:r>
        <w:t xml:space="preserve"> the </w:t>
      </w:r>
      <w:r w:rsidR="002A2292">
        <w:t>Homelessness Summit, which resulted in 150 attendees.  CDBG staff provided info to the United Way staff compiled from its experience with the Affordable Housing Symposium, assisted in writing the detailed script for the event  and was able to get the HUD St. Louis Regional Director to attend an</w:t>
      </w:r>
      <w:r w:rsidR="00FF1D5D">
        <w:t>d</w:t>
      </w:r>
      <w:r w:rsidR="002A2292">
        <w:t xml:space="preserve"> speak at the event.  </w:t>
      </w:r>
    </w:p>
    <w:p w:rsidR="002A2292" w:rsidRDefault="002A2292" w:rsidP="00656AF3">
      <w:pPr>
        <w:keepNext/>
        <w:widowControl w:val="0"/>
        <w:spacing w:after="0" w:line="240" w:lineRule="auto"/>
        <w:rPr>
          <w:b/>
          <w:sz w:val="24"/>
          <w:szCs w:val="24"/>
        </w:rPr>
      </w:pPr>
    </w:p>
    <w:p w:rsidR="00656AF3" w:rsidRDefault="00656AF3" w:rsidP="00656AF3">
      <w:pPr>
        <w:keepNext/>
        <w:widowControl w:val="0"/>
        <w:spacing w:after="0" w:line="240" w:lineRule="auto"/>
        <w:rPr>
          <w:b/>
          <w:sz w:val="24"/>
          <w:szCs w:val="24"/>
        </w:rPr>
      </w:pPr>
      <w:r>
        <w:rPr>
          <w:b/>
          <w:sz w:val="24"/>
          <w:szCs w:val="24"/>
        </w:rPr>
        <w:t>Comparison of the proposed versus actual outcomes for each outcome measure submitted with the consolidated plan and explain, if applicable, why progress was not made toward meeting goals and objectives.  91.520(g)</w:t>
      </w:r>
    </w:p>
    <w:p w:rsidR="00656AF3" w:rsidRDefault="00656AF3" w:rsidP="00656AF3">
      <w:pPr>
        <w:keepNext/>
        <w:widowControl w:val="0"/>
        <w:spacing w:after="0" w:line="240" w:lineRule="auto"/>
        <w:rPr>
          <w:szCs w:val="24"/>
        </w:rPr>
      </w:pPr>
      <w:r>
        <w:t>Categories, priority levels, funding sources and amounts, outcomes/objectives, goal outcome indicators, units of measure, targets, actual outcomes/outputs, and percentage completed for each of the grantee’s program year goals.</w:t>
      </w:r>
    </w:p>
    <w:p w:rsidR="00656AF3" w:rsidRDefault="00656AF3" w:rsidP="00656AF3">
      <w:pPr>
        <w:widowControl w:val="0"/>
        <w:rPr>
          <w:b/>
          <w:sz w:val="24"/>
          <w:szCs w:val="24"/>
        </w:rPr>
      </w:pPr>
    </w:p>
    <w:tbl>
      <w:tblPr>
        <w:tblStyle w:val="TableGrid"/>
        <w:tblW w:w="13728" w:type="dxa"/>
        <w:tblInd w:w="0" w:type="dxa"/>
        <w:tblLayout w:type="fixed"/>
        <w:tblLook w:val="04A0" w:firstRow="1" w:lastRow="0" w:firstColumn="1" w:lastColumn="0" w:noHBand="0" w:noVBand="1"/>
      </w:tblPr>
      <w:tblGrid>
        <w:gridCol w:w="1658"/>
        <w:gridCol w:w="1530"/>
        <w:gridCol w:w="880"/>
        <w:gridCol w:w="2520"/>
        <w:gridCol w:w="1260"/>
        <w:gridCol w:w="990"/>
        <w:gridCol w:w="921"/>
        <w:gridCol w:w="1031"/>
        <w:gridCol w:w="975"/>
        <w:gridCol w:w="929"/>
        <w:gridCol w:w="1034"/>
      </w:tblGrid>
      <w:tr w:rsidR="00656AF3" w:rsidTr="00045711">
        <w:tc>
          <w:tcPr>
            <w:tcW w:w="1658" w:type="dxa"/>
            <w:tcBorders>
              <w:bottom w:val="single" w:sz="4" w:space="0" w:color="auto"/>
            </w:tcBorders>
            <w:shd w:val="pct25" w:color="auto" w:fill="auto"/>
          </w:tcPr>
          <w:p w:rsidR="00656AF3" w:rsidRDefault="00656AF3" w:rsidP="000D7181">
            <w:pPr>
              <w:keepNext/>
              <w:widowControl w:val="0"/>
              <w:spacing w:after="0" w:line="240" w:lineRule="auto"/>
              <w:jc w:val="center"/>
              <w:rPr>
                <w:b/>
              </w:rPr>
            </w:pPr>
            <w:r>
              <w:rPr>
                <w:b/>
              </w:rPr>
              <w:t>Goal</w:t>
            </w:r>
          </w:p>
        </w:tc>
        <w:tc>
          <w:tcPr>
            <w:tcW w:w="1530" w:type="dxa"/>
            <w:shd w:val="pct25" w:color="auto" w:fill="auto"/>
          </w:tcPr>
          <w:p w:rsidR="00656AF3" w:rsidRDefault="00656AF3" w:rsidP="000D7181">
            <w:pPr>
              <w:keepNext/>
              <w:widowControl w:val="0"/>
              <w:spacing w:after="0" w:line="240" w:lineRule="auto"/>
              <w:jc w:val="center"/>
              <w:rPr>
                <w:b/>
              </w:rPr>
            </w:pPr>
            <w:r>
              <w:rPr>
                <w:b/>
              </w:rPr>
              <w:t>Category</w:t>
            </w:r>
          </w:p>
        </w:tc>
        <w:tc>
          <w:tcPr>
            <w:tcW w:w="880" w:type="dxa"/>
            <w:shd w:val="pct25" w:color="auto" w:fill="auto"/>
          </w:tcPr>
          <w:p w:rsidR="00656AF3" w:rsidRDefault="00656AF3" w:rsidP="000D7181">
            <w:pPr>
              <w:keepNext/>
              <w:widowControl w:val="0"/>
              <w:spacing w:after="0" w:line="240" w:lineRule="auto"/>
              <w:jc w:val="center"/>
              <w:rPr>
                <w:b/>
              </w:rPr>
            </w:pPr>
            <w:r>
              <w:rPr>
                <w:b/>
              </w:rPr>
              <w:t xml:space="preserve">Source </w:t>
            </w:r>
          </w:p>
        </w:tc>
        <w:tc>
          <w:tcPr>
            <w:tcW w:w="2520" w:type="dxa"/>
            <w:shd w:val="pct25" w:color="auto" w:fill="auto"/>
          </w:tcPr>
          <w:p w:rsidR="00656AF3" w:rsidRDefault="00656AF3" w:rsidP="000D7181">
            <w:pPr>
              <w:keepNext/>
              <w:widowControl w:val="0"/>
              <w:spacing w:after="0" w:line="240" w:lineRule="auto"/>
              <w:jc w:val="center"/>
              <w:rPr>
                <w:b/>
              </w:rPr>
            </w:pPr>
            <w:r>
              <w:rPr>
                <w:b/>
              </w:rPr>
              <w:t>Indicator</w:t>
            </w:r>
          </w:p>
        </w:tc>
        <w:tc>
          <w:tcPr>
            <w:tcW w:w="1260" w:type="dxa"/>
            <w:shd w:val="pct25" w:color="auto" w:fill="auto"/>
          </w:tcPr>
          <w:p w:rsidR="00656AF3" w:rsidRDefault="00656AF3" w:rsidP="000D7181">
            <w:pPr>
              <w:keepNext/>
              <w:widowControl w:val="0"/>
              <w:spacing w:after="0" w:line="240" w:lineRule="auto"/>
              <w:jc w:val="center"/>
              <w:rPr>
                <w:b/>
              </w:rPr>
            </w:pPr>
            <w:r>
              <w:rPr>
                <w:b/>
              </w:rPr>
              <w:t>Unit of Measure</w:t>
            </w:r>
          </w:p>
        </w:tc>
        <w:tc>
          <w:tcPr>
            <w:tcW w:w="990" w:type="dxa"/>
            <w:shd w:val="pct25" w:color="auto" w:fill="auto"/>
          </w:tcPr>
          <w:p w:rsidR="00656AF3" w:rsidRDefault="00656AF3" w:rsidP="000D7181">
            <w:pPr>
              <w:keepNext/>
              <w:widowControl w:val="0"/>
              <w:spacing w:after="0" w:line="240" w:lineRule="auto"/>
              <w:jc w:val="center"/>
              <w:rPr>
                <w:b/>
              </w:rPr>
            </w:pPr>
            <w:r>
              <w:rPr>
                <w:b/>
              </w:rPr>
              <w:t>Expected – Strategic Plan</w:t>
            </w:r>
          </w:p>
        </w:tc>
        <w:tc>
          <w:tcPr>
            <w:tcW w:w="921" w:type="dxa"/>
            <w:shd w:val="pct25" w:color="auto" w:fill="auto"/>
          </w:tcPr>
          <w:p w:rsidR="00656AF3" w:rsidRDefault="00656AF3" w:rsidP="000D7181">
            <w:pPr>
              <w:keepNext/>
              <w:widowControl w:val="0"/>
              <w:spacing w:after="0" w:line="240" w:lineRule="auto"/>
              <w:jc w:val="center"/>
              <w:rPr>
                <w:b/>
              </w:rPr>
            </w:pPr>
            <w:r>
              <w:rPr>
                <w:b/>
              </w:rPr>
              <w:t>Actual – Strategic Plan</w:t>
            </w:r>
          </w:p>
        </w:tc>
        <w:tc>
          <w:tcPr>
            <w:tcW w:w="1031" w:type="dxa"/>
            <w:shd w:val="pct25" w:color="auto" w:fill="auto"/>
          </w:tcPr>
          <w:p w:rsidR="00656AF3" w:rsidRDefault="00656AF3" w:rsidP="000D7181">
            <w:pPr>
              <w:keepNext/>
              <w:widowControl w:val="0"/>
              <w:spacing w:after="0" w:line="240" w:lineRule="auto"/>
              <w:jc w:val="center"/>
              <w:rPr>
                <w:b/>
              </w:rPr>
            </w:pPr>
            <w:r>
              <w:rPr>
                <w:b/>
              </w:rPr>
              <w:t>Percent Complete</w:t>
            </w:r>
          </w:p>
        </w:tc>
        <w:tc>
          <w:tcPr>
            <w:tcW w:w="975" w:type="dxa"/>
            <w:shd w:val="pct25" w:color="auto" w:fill="auto"/>
          </w:tcPr>
          <w:p w:rsidR="00656AF3" w:rsidRDefault="00656AF3" w:rsidP="000D7181">
            <w:pPr>
              <w:keepNext/>
              <w:widowControl w:val="0"/>
              <w:spacing w:after="0" w:line="240" w:lineRule="auto"/>
              <w:jc w:val="center"/>
              <w:rPr>
                <w:b/>
              </w:rPr>
            </w:pPr>
            <w:r>
              <w:rPr>
                <w:b/>
              </w:rPr>
              <w:t>Expected – Program Year</w:t>
            </w:r>
          </w:p>
        </w:tc>
        <w:tc>
          <w:tcPr>
            <w:tcW w:w="929" w:type="dxa"/>
            <w:shd w:val="pct25" w:color="auto" w:fill="auto"/>
          </w:tcPr>
          <w:p w:rsidR="00656AF3" w:rsidRDefault="00656AF3" w:rsidP="000D7181">
            <w:pPr>
              <w:keepNext/>
              <w:widowControl w:val="0"/>
              <w:spacing w:after="0" w:line="240" w:lineRule="auto"/>
              <w:jc w:val="center"/>
              <w:rPr>
                <w:b/>
              </w:rPr>
            </w:pPr>
            <w:r>
              <w:rPr>
                <w:b/>
              </w:rPr>
              <w:t>Actual – Program Year</w:t>
            </w:r>
          </w:p>
        </w:tc>
        <w:tc>
          <w:tcPr>
            <w:tcW w:w="1034" w:type="dxa"/>
            <w:shd w:val="pct25" w:color="auto" w:fill="auto"/>
          </w:tcPr>
          <w:p w:rsidR="00656AF3" w:rsidRDefault="00656AF3" w:rsidP="000D7181">
            <w:pPr>
              <w:keepNext/>
              <w:widowControl w:val="0"/>
              <w:spacing w:after="0" w:line="240" w:lineRule="auto"/>
              <w:jc w:val="center"/>
              <w:rPr>
                <w:b/>
              </w:rPr>
            </w:pPr>
            <w:r>
              <w:rPr>
                <w:b/>
              </w:rPr>
              <w:t>Percent Complete</w:t>
            </w:r>
          </w:p>
        </w:tc>
      </w:tr>
      <w:tr w:rsidR="00656AF3" w:rsidTr="00045711">
        <w:trPr>
          <w:cantSplit/>
        </w:trPr>
        <w:tc>
          <w:tcPr>
            <w:tcW w:w="1658" w:type="dxa"/>
            <w:shd w:val="clear" w:color="auto" w:fill="BFBFBF" w:themeFill="background1" w:themeFillShade="BF"/>
            <w:vAlign w:val="center"/>
          </w:tcPr>
          <w:p w:rsidR="00656AF3" w:rsidRDefault="00656AF3" w:rsidP="000D7181">
            <w:pPr>
              <w:spacing w:beforeAutospacing="1" w:afterAutospacing="1"/>
            </w:pPr>
            <w:r>
              <w:rPr>
                <w:color w:val="000000"/>
                <w:sz w:val="22"/>
              </w:rPr>
              <w:t>Bus Shelters</w:t>
            </w:r>
          </w:p>
        </w:tc>
        <w:tc>
          <w:tcPr>
            <w:tcW w:w="1530" w:type="dxa"/>
            <w:vAlign w:val="center"/>
          </w:tcPr>
          <w:p w:rsidR="00656AF3" w:rsidRDefault="00656AF3" w:rsidP="000D7181">
            <w:pPr>
              <w:spacing w:beforeAutospacing="1" w:afterAutospacing="1"/>
            </w:pPr>
            <w:r>
              <w:rPr>
                <w:color w:val="000000"/>
                <w:sz w:val="22"/>
              </w:rPr>
              <w:t>Non-Housing Community Development</w:t>
            </w:r>
          </w:p>
        </w:tc>
        <w:tc>
          <w:tcPr>
            <w:tcW w:w="880" w:type="dxa"/>
            <w:vAlign w:val="center"/>
          </w:tcPr>
          <w:p w:rsidR="00656AF3" w:rsidRDefault="00656AF3" w:rsidP="000D7181">
            <w:pPr>
              <w:spacing w:beforeAutospacing="1" w:afterAutospacing="1"/>
            </w:pPr>
            <w:r>
              <w:rPr>
                <w:color w:val="000000"/>
                <w:sz w:val="22"/>
              </w:rPr>
              <w:t>CDBG</w:t>
            </w:r>
          </w:p>
        </w:tc>
        <w:tc>
          <w:tcPr>
            <w:tcW w:w="2520" w:type="dxa"/>
            <w:vAlign w:val="center"/>
          </w:tcPr>
          <w:p w:rsidR="00656AF3" w:rsidRDefault="00656AF3" w:rsidP="000D7181">
            <w:pPr>
              <w:spacing w:beforeAutospacing="1" w:afterAutospacing="1"/>
            </w:pPr>
            <w:r>
              <w:rPr>
                <w:color w:val="000000"/>
                <w:sz w:val="22"/>
              </w:rPr>
              <w:t>Public Facility or Infrastructure Activities other than Low/Moderate Income Housing Benefit</w:t>
            </w:r>
          </w:p>
        </w:tc>
        <w:tc>
          <w:tcPr>
            <w:tcW w:w="1260" w:type="dxa"/>
            <w:vAlign w:val="center"/>
          </w:tcPr>
          <w:p w:rsidR="00656AF3" w:rsidRDefault="00656AF3" w:rsidP="000D7181">
            <w:pPr>
              <w:spacing w:beforeAutospacing="1" w:afterAutospacing="1"/>
            </w:pPr>
            <w:r>
              <w:rPr>
                <w:color w:val="000000"/>
                <w:sz w:val="22"/>
              </w:rPr>
              <w:t>Persons Assisted</w:t>
            </w:r>
          </w:p>
        </w:tc>
        <w:tc>
          <w:tcPr>
            <w:tcW w:w="990" w:type="dxa"/>
            <w:vAlign w:val="center"/>
          </w:tcPr>
          <w:p w:rsidR="00656AF3" w:rsidRDefault="00656AF3" w:rsidP="000D7181">
            <w:pPr>
              <w:spacing w:beforeAutospacing="1" w:afterAutospacing="1"/>
            </w:pPr>
            <w:r>
              <w:rPr>
                <w:color w:val="000000"/>
                <w:sz w:val="22"/>
              </w:rPr>
              <w:t>5000</w:t>
            </w:r>
          </w:p>
        </w:tc>
        <w:tc>
          <w:tcPr>
            <w:tcW w:w="921" w:type="dxa"/>
            <w:vAlign w:val="center"/>
          </w:tcPr>
          <w:p w:rsidR="00656AF3" w:rsidRDefault="00656AF3" w:rsidP="000D7181">
            <w:pPr>
              <w:spacing w:beforeAutospacing="1" w:afterAutospacing="1"/>
            </w:pPr>
            <w:r>
              <w:rPr>
                <w:color w:val="000000"/>
                <w:sz w:val="22"/>
              </w:rPr>
              <w:t>0</w:t>
            </w:r>
          </w:p>
        </w:tc>
        <w:tc>
          <w:tcPr>
            <w:tcW w:w="1031" w:type="dxa"/>
            <w:vAlign w:val="center"/>
          </w:tcPr>
          <w:p w:rsidR="00656AF3" w:rsidRDefault="00656AF3" w:rsidP="000D7181">
            <w:pPr>
              <w:spacing w:beforeAutospacing="1" w:afterAutospacing="1"/>
            </w:pPr>
            <w:r>
              <w:rPr>
                <w:color w:val="000000"/>
                <w:sz w:val="22"/>
              </w:rPr>
              <w:t xml:space="preserve">   0.00%</w:t>
            </w:r>
          </w:p>
        </w:tc>
        <w:tc>
          <w:tcPr>
            <w:tcW w:w="975" w:type="dxa"/>
            <w:vAlign w:val="center"/>
          </w:tcPr>
          <w:p w:rsidR="00656AF3" w:rsidRDefault="00656AF3" w:rsidP="000D7181">
            <w:pPr>
              <w:spacing w:beforeAutospacing="1" w:afterAutospacing="1"/>
            </w:pPr>
            <w:r>
              <w:rPr>
                <w:color w:val="000000"/>
                <w:sz w:val="22"/>
              </w:rPr>
              <w:t xml:space="preserve"> </w:t>
            </w:r>
          </w:p>
        </w:tc>
        <w:tc>
          <w:tcPr>
            <w:tcW w:w="929" w:type="dxa"/>
            <w:vAlign w:val="center"/>
          </w:tcPr>
          <w:p w:rsidR="00656AF3" w:rsidRDefault="00656AF3" w:rsidP="000D7181">
            <w:pPr>
              <w:spacing w:beforeAutospacing="1" w:afterAutospacing="1"/>
            </w:pPr>
            <w:r>
              <w:rPr>
                <w:color w:val="000000"/>
                <w:sz w:val="22"/>
              </w:rPr>
              <w:t xml:space="preserve"> </w:t>
            </w:r>
            <w:r w:rsidR="008E2E1C">
              <w:rPr>
                <w:color w:val="000000"/>
                <w:sz w:val="22"/>
              </w:rPr>
              <w:t>0</w:t>
            </w:r>
          </w:p>
        </w:tc>
        <w:tc>
          <w:tcPr>
            <w:tcW w:w="1034" w:type="dxa"/>
            <w:vAlign w:val="center"/>
          </w:tcPr>
          <w:p w:rsidR="00656AF3" w:rsidRDefault="00656AF3" w:rsidP="000D7181">
            <w:pPr>
              <w:spacing w:beforeAutospacing="1" w:afterAutospacing="1"/>
            </w:pPr>
            <w:r>
              <w:rPr>
                <w:color w:val="000000"/>
                <w:sz w:val="22"/>
              </w:rPr>
              <w:t xml:space="preserve"> </w:t>
            </w:r>
            <w:r w:rsidR="008E2E1C">
              <w:rPr>
                <w:color w:val="000000"/>
                <w:sz w:val="22"/>
              </w:rPr>
              <w:t>0.00%</w:t>
            </w:r>
          </w:p>
        </w:tc>
      </w:tr>
      <w:tr w:rsidR="00656AF3" w:rsidTr="00045711">
        <w:trPr>
          <w:cantSplit/>
        </w:trPr>
        <w:tc>
          <w:tcPr>
            <w:tcW w:w="1658" w:type="dxa"/>
            <w:shd w:val="clear" w:color="auto" w:fill="BFBFBF" w:themeFill="background1" w:themeFillShade="BF"/>
            <w:vAlign w:val="center"/>
          </w:tcPr>
          <w:p w:rsidR="00656AF3" w:rsidRPr="008E2E1C" w:rsidRDefault="00656AF3" w:rsidP="000D7181">
            <w:pPr>
              <w:spacing w:beforeAutospacing="1" w:afterAutospacing="1"/>
            </w:pPr>
            <w:r w:rsidRPr="008E2E1C">
              <w:rPr>
                <w:color w:val="000000"/>
                <w:sz w:val="22"/>
              </w:rPr>
              <w:t>Code Enforcement</w:t>
            </w:r>
          </w:p>
        </w:tc>
        <w:tc>
          <w:tcPr>
            <w:tcW w:w="1530" w:type="dxa"/>
            <w:vAlign w:val="center"/>
          </w:tcPr>
          <w:p w:rsidR="00656AF3" w:rsidRPr="008E2E1C" w:rsidRDefault="00656AF3" w:rsidP="000D7181">
            <w:pPr>
              <w:spacing w:beforeAutospacing="1" w:afterAutospacing="1"/>
            </w:pPr>
            <w:r w:rsidRPr="008E2E1C">
              <w:rPr>
                <w:color w:val="000000"/>
                <w:sz w:val="22"/>
              </w:rPr>
              <w:t>Affordable Housing</w:t>
            </w:r>
          </w:p>
        </w:tc>
        <w:tc>
          <w:tcPr>
            <w:tcW w:w="880" w:type="dxa"/>
            <w:vAlign w:val="center"/>
          </w:tcPr>
          <w:p w:rsidR="00656AF3" w:rsidRPr="008E2E1C" w:rsidRDefault="00656AF3" w:rsidP="000D7181">
            <w:pPr>
              <w:spacing w:beforeAutospacing="1" w:afterAutospacing="1"/>
            </w:pPr>
            <w:r w:rsidRPr="008E2E1C">
              <w:rPr>
                <w:color w:val="000000"/>
                <w:sz w:val="22"/>
              </w:rPr>
              <w:t>CDBG</w:t>
            </w:r>
          </w:p>
        </w:tc>
        <w:tc>
          <w:tcPr>
            <w:tcW w:w="2520" w:type="dxa"/>
            <w:vAlign w:val="center"/>
          </w:tcPr>
          <w:p w:rsidR="00656AF3" w:rsidRPr="008E2E1C" w:rsidRDefault="00656AF3" w:rsidP="000D7181">
            <w:pPr>
              <w:spacing w:beforeAutospacing="1" w:afterAutospacing="1"/>
            </w:pPr>
            <w:r w:rsidRPr="008E2E1C">
              <w:rPr>
                <w:color w:val="000000"/>
                <w:sz w:val="22"/>
              </w:rPr>
              <w:t>Housing Code Enforcement/Foreclosed Property Care</w:t>
            </w:r>
          </w:p>
        </w:tc>
        <w:tc>
          <w:tcPr>
            <w:tcW w:w="1260" w:type="dxa"/>
            <w:vAlign w:val="center"/>
          </w:tcPr>
          <w:p w:rsidR="00656AF3" w:rsidRPr="008E2E1C" w:rsidRDefault="00656AF3" w:rsidP="000D7181">
            <w:pPr>
              <w:spacing w:beforeAutospacing="1" w:afterAutospacing="1"/>
            </w:pPr>
            <w:r w:rsidRPr="008E2E1C">
              <w:rPr>
                <w:color w:val="000000"/>
                <w:sz w:val="22"/>
              </w:rPr>
              <w:t>Household Housing Unit</w:t>
            </w:r>
          </w:p>
        </w:tc>
        <w:tc>
          <w:tcPr>
            <w:tcW w:w="990" w:type="dxa"/>
            <w:vAlign w:val="center"/>
          </w:tcPr>
          <w:p w:rsidR="00656AF3" w:rsidRPr="008E2E1C" w:rsidRDefault="00656AF3" w:rsidP="000D7181">
            <w:pPr>
              <w:spacing w:beforeAutospacing="1" w:afterAutospacing="1"/>
            </w:pPr>
            <w:r w:rsidRPr="008E2E1C">
              <w:rPr>
                <w:color w:val="000000"/>
                <w:sz w:val="22"/>
              </w:rPr>
              <w:t>375</w:t>
            </w:r>
          </w:p>
        </w:tc>
        <w:tc>
          <w:tcPr>
            <w:tcW w:w="921" w:type="dxa"/>
            <w:vAlign w:val="center"/>
          </w:tcPr>
          <w:p w:rsidR="00656AF3" w:rsidRPr="008E2E1C" w:rsidRDefault="008E2E1C" w:rsidP="000D7181">
            <w:pPr>
              <w:spacing w:beforeAutospacing="1" w:afterAutospacing="1"/>
            </w:pPr>
            <w:r w:rsidRPr="008E2E1C">
              <w:rPr>
                <w:color w:val="000000"/>
                <w:sz w:val="22"/>
              </w:rPr>
              <w:t>147</w:t>
            </w:r>
          </w:p>
        </w:tc>
        <w:tc>
          <w:tcPr>
            <w:tcW w:w="1031" w:type="dxa"/>
            <w:vAlign w:val="center"/>
          </w:tcPr>
          <w:p w:rsidR="00656AF3" w:rsidRPr="008E2E1C" w:rsidRDefault="008E2E1C" w:rsidP="008E2E1C">
            <w:pPr>
              <w:spacing w:beforeAutospacing="1" w:afterAutospacing="1"/>
            </w:pPr>
            <w:r w:rsidRPr="008E2E1C">
              <w:rPr>
                <w:color w:val="000000"/>
                <w:sz w:val="22"/>
              </w:rPr>
              <w:t xml:space="preserve">   39</w:t>
            </w:r>
            <w:r w:rsidR="00656AF3" w:rsidRPr="008E2E1C">
              <w:rPr>
                <w:color w:val="000000"/>
                <w:sz w:val="22"/>
              </w:rPr>
              <w:t>.</w:t>
            </w:r>
            <w:r w:rsidRPr="008E2E1C">
              <w:rPr>
                <w:color w:val="000000"/>
                <w:sz w:val="22"/>
              </w:rPr>
              <w:t>2</w:t>
            </w:r>
            <w:r w:rsidR="00656AF3" w:rsidRPr="008E2E1C">
              <w:rPr>
                <w:color w:val="000000"/>
                <w:sz w:val="22"/>
              </w:rPr>
              <w:t>%</w:t>
            </w:r>
          </w:p>
        </w:tc>
        <w:tc>
          <w:tcPr>
            <w:tcW w:w="975" w:type="dxa"/>
            <w:vAlign w:val="center"/>
          </w:tcPr>
          <w:p w:rsidR="00656AF3" w:rsidRPr="008E2E1C" w:rsidRDefault="00656AF3" w:rsidP="000D7181">
            <w:pPr>
              <w:spacing w:beforeAutospacing="1" w:afterAutospacing="1"/>
            </w:pPr>
            <w:r w:rsidRPr="008E2E1C">
              <w:rPr>
                <w:color w:val="000000"/>
                <w:sz w:val="22"/>
              </w:rPr>
              <w:t>75</w:t>
            </w:r>
          </w:p>
        </w:tc>
        <w:tc>
          <w:tcPr>
            <w:tcW w:w="929" w:type="dxa"/>
            <w:vAlign w:val="center"/>
          </w:tcPr>
          <w:p w:rsidR="00656AF3" w:rsidRPr="008E2E1C" w:rsidRDefault="008E2E1C" w:rsidP="000D7181">
            <w:pPr>
              <w:spacing w:beforeAutospacing="1" w:afterAutospacing="1"/>
            </w:pPr>
            <w:r w:rsidRPr="008E2E1C">
              <w:t>70</w:t>
            </w:r>
          </w:p>
        </w:tc>
        <w:tc>
          <w:tcPr>
            <w:tcW w:w="1034" w:type="dxa"/>
            <w:vAlign w:val="center"/>
          </w:tcPr>
          <w:p w:rsidR="00656AF3" w:rsidRPr="008E2E1C" w:rsidRDefault="008E2E1C" w:rsidP="008E2E1C">
            <w:pPr>
              <w:spacing w:beforeAutospacing="1" w:afterAutospacing="1"/>
            </w:pPr>
            <w:r w:rsidRPr="008E2E1C">
              <w:rPr>
                <w:color w:val="000000"/>
                <w:sz w:val="22"/>
              </w:rPr>
              <w:t>93</w:t>
            </w:r>
            <w:r w:rsidR="00656AF3" w:rsidRPr="008E2E1C">
              <w:rPr>
                <w:color w:val="000000"/>
                <w:sz w:val="22"/>
              </w:rPr>
              <w:t>.</w:t>
            </w:r>
            <w:r w:rsidRPr="008E2E1C">
              <w:rPr>
                <w:color w:val="000000"/>
                <w:sz w:val="22"/>
              </w:rPr>
              <w:t>33</w:t>
            </w:r>
            <w:r w:rsidR="00656AF3" w:rsidRPr="008E2E1C">
              <w:rPr>
                <w:color w:val="000000"/>
                <w:sz w:val="22"/>
              </w:rPr>
              <w:t>%</w:t>
            </w:r>
          </w:p>
        </w:tc>
      </w:tr>
      <w:tr w:rsidR="00656AF3" w:rsidRPr="00045711" w:rsidTr="00045711">
        <w:trPr>
          <w:cantSplit/>
        </w:trPr>
        <w:tc>
          <w:tcPr>
            <w:tcW w:w="1658" w:type="dxa"/>
            <w:shd w:val="clear" w:color="auto" w:fill="BFBFBF" w:themeFill="background1" w:themeFillShade="BF"/>
            <w:vAlign w:val="center"/>
          </w:tcPr>
          <w:p w:rsidR="00656AF3" w:rsidRPr="00045711" w:rsidRDefault="00656AF3" w:rsidP="000D7181">
            <w:pPr>
              <w:spacing w:beforeAutospacing="1" w:afterAutospacing="1"/>
            </w:pPr>
            <w:r w:rsidRPr="00045711">
              <w:rPr>
                <w:color w:val="000000"/>
                <w:sz w:val="22"/>
              </w:rPr>
              <w:t>Community Facility Improvements</w:t>
            </w:r>
          </w:p>
        </w:tc>
        <w:tc>
          <w:tcPr>
            <w:tcW w:w="1530" w:type="dxa"/>
            <w:vAlign w:val="center"/>
          </w:tcPr>
          <w:p w:rsidR="00656AF3" w:rsidRPr="00045711" w:rsidRDefault="00656AF3" w:rsidP="000D7181">
            <w:pPr>
              <w:spacing w:beforeAutospacing="1" w:afterAutospacing="1"/>
            </w:pPr>
            <w:r w:rsidRPr="00045711">
              <w:rPr>
                <w:color w:val="000000"/>
                <w:sz w:val="22"/>
              </w:rPr>
              <w:t>Non-Housing Community Development</w:t>
            </w:r>
          </w:p>
        </w:tc>
        <w:tc>
          <w:tcPr>
            <w:tcW w:w="880" w:type="dxa"/>
            <w:vAlign w:val="center"/>
          </w:tcPr>
          <w:p w:rsidR="00656AF3" w:rsidRPr="00045711" w:rsidRDefault="00656AF3" w:rsidP="000D7181">
            <w:pPr>
              <w:spacing w:beforeAutospacing="1" w:afterAutospacing="1"/>
            </w:pPr>
            <w:r w:rsidRPr="00045711">
              <w:rPr>
                <w:color w:val="000000"/>
                <w:sz w:val="22"/>
              </w:rPr>
              <w:t>CDBG</w:t>
            </w:r>
          </w:p>
        </w:tc>
        <w:tc>
          <w:tcPr>
            <w:tcW w:w="2520" w:type="dxa"/>
            <w:vAlign w:val="center"/>
          </w:tcPr>
          <w:p w:rsidR="00656AF3" w:rsidRPr="00045711" w:rsidRDefault="00656AF3" w:rsidP="000D7181">
            <w:pPr>
              <w:spacing w:beforeAutospacing="1" w:afterAutospacing="1"/>
            </w:pPr>
            <w:r w:rsidRPr="00045711">
              <w:rPr>
                <w:color w:val="000000"/>
                <w:sz w:val="22"/>
              </w:rPr>
              <w:t>Public Facility or Infrastructure Activities other than Low/Moderate Income Housing Benefit</w:t>
            </w:r>
          </w:p>
        </w:tc>
        <w:tc>
          <w:tcPr>
            <w:tcW w:w="1260" w:type="dxa"/>
            <w:vAlign w:val="center"/>
          </w:tcPr>
          <w:p w:rsidR="00656AF3" w:rsidRPr="00045711" w:rsidRDefault="00656AF3" w:rsidP="000D7181">
            <w:pPr>
              <w:spacing w:beforeAutospacing="1" w:afterAutospacing="1"/>
            </w:pPr>
            <w:r w:rsidRPr="00045711">
              <w:rPr>
                <w:color w:val="000000"/>
                <w:sz w:val="22"/>
              </w:rPr>
              <w:t>Persons Assisted</w:t>
            </w:r>
          </w:p>
        </w:tc>
        <w:tc>
          <w:tcPr>
            <w:tcW w:w="990" w:type="dxa"/>
            <w:vAlign w:val="center"/>
          </w:tcPr>
          <w:p w:rsidR="00656AF3" w:rsidRPr="00045711" w:rsidRDefault="00656AF3" w:rsidP="000D7181">
            <w:pPr>
              <w:spacing w:beforeAutospacing="1" w:afterAutospacing="1"/>
            </w:pPr>
            <w:r w:rsidRPr="00045711">
              <w:rPr>
                <w:color w:val="000000"/>
                <w:sz w:val="22"/>
              </w:rPr>
              <w:t>150</w:t>
            </w:r>
          </w:p>
        </w:tc>
        <w:tc>
          <w:tcPr>
            <w:tcW w:w="921" w:type="dxa"/>
            <w:vAlign w:val="center"/>
          </w:tcPr>
          <w:p w:rsidR="00656AF3" w:rsidRPr="00045711" w:rsidRDefault="00045711" w:rsidP="000D7181">
            <w:pPr>
              <w:spacing w:beforeAutospacing="1" w:afterAutospacing="1"/>
            </w:pPr>
            <w:r w:rsidRPr="00045711">
              <w:rPr>
                <w:color w:val="000000"/>
                <w:sz w:val="22"/>
              </w:rPr>
              <w:t>53</w:t>
            </w:r>
          </w:p>
        </w:tc>
        <w:tc>
          <w:tcPr>
            <w:tcW w:w="1031" w:type="dxa"/>
            <w:vAlign w:val="center"/>
          </w:tcPr>
          <w:p w:rsidR="00656AF3" w:rsidRPr="00045711" w:rsidRDefault="00902A98" w:rsidP="000D7181">
            <w:pPr>
              <w:spacing w:beforeAutospacing="1" w:afterAutospacing="1"/>
            </w:pPr>
            <w:r>
              <w:rPr>
                <w:color w:val="000000"/>
                <w:sz w:val="22"/>
              </w:rPr>
              <w:t xml:space="preserve"> 3</w:t>
            </w:r>
            <w:r w:rsidR="00656AF3" w:rsidRPr="00045711">
              <w:rPr>
                <w:color w:val="000000"/>
                <w:sz w:val="22"/>
              </w:rPr>
              <w:t>5.33%</w:t>
            </w:r>
          </w:p>
        </w:tc>
        <w:tc>
          <w:tcPr>
            <w:tcW w:w="975" w:type="dxa"/>
            <w:vAlign w:val="center"/>
          </w:tcPr>
          <w:p w:rsidR="00656AF3" w:rsidRPr="00045711" w:rsidRDefault="00656AF3" w:rsidP="000D7181">
            <w:pPr>
              <w:spacing w:beforeAutospacing="1" w:afterAutospacing="1"/>
            </w:pPr>
            <w:r w:rsidRPr="00045711">
              <w:rPr>
                <w:color w:val="000000"/>
                <w:sz w:val="22"/>
              </w:rPr>
              <w:t xml:space="preserve"> 30</w:t>
            </w:r>
          </w:p>
        </w:tc>
        <w:tc>
          <w:tcPr>
            <w:tcW w:w="929" w:type="dxa"/>
            <w:vAlign w:val="center"/>
          </w:tcPr>
          <w:p w:rsidR="00656AF3" w:rsidRPr="00045711" w:rsidRDefault="00045711" w:rsidP="000D7181">
            <w:pPr>
              <w:spacing w:beforeAutospacing="1" w:afterAutospacing="1"/>
            </w:pPr>
            <w:r w:rsidRPr="00045711">
              <w:t>30</w:t>
            </w:r>
          </w:p>
        </w:tc>
        <w:tc>
          <w:tcPr>
            <w:tcW w:w="1034" w:type="dxa"/>
            <w:vAlign w:val="center"/>
          </w:tcPr>
          <w:p w:rsidR="00656AF3" w:rsidRPr="00045711" w:rsidRDefault="00045711" w:rsidP="00045711">
            <w:pPr>
              <w:spacing w:beforeAutospacing="1" w:afterAutospacing="1"/>
            </w:pPr>
            <w:r>
              <w:rPr>
                <w:color w:val="000000"/>
                <w:sz w:val="22"/>
              </w:rPr>
              <w:t>100</w:t>
            </w:r>
            <w:r w:rsidR="00656AF3" w:rsidRPr="00045711">
              <w:rPr>
                <w:color w:val="000000"/>
                <w:sz w:val="22"/>
              </w:rPr>
              <w:t>.</w:t>
            </w:r>
            <w:r>
              <w:rPr>
                <w:color w:val="000000"/>
                <w:sz w:val="22"/>
              </w:rPr>
              <w:t>00</w:t>
            </w:r>
            <w:r w:rsidR="00656AF3" w:rsidRPr="00045711">
              <w:rPr>
                <w:color w:val="000000"/>
                <w:sz w:val="22"/>
              </w:rPr>
              <w:t>%</w:t>
            </w:r>
          </w:p>
        </w:tc>
      </w:tr>
      <w:tr w:rsidR="00656AF3" w:rsidTr="00045711">
        <w:trPr>
          <w:cantSplit/>
        </w:trPr>
        <w:tc>
          <w:tcPr>
            <w:tcW w:w="1658" w:type="dxa"/>
            <w:shd w:val="clear" w:color="auto" w:fill="BFBFBF" w:themeFill="background1" w:themeFillShade="BF"/>
            <w:vAlign w:val="center"/>
          </w:tcPr>
          <w:p w:rsidR="00656AF3" w:rsidRPr="00177987" w:rsidRDefault="00656AF3" w:rsidP="000D7181">
            <w:pPr>
              <w:spacing w:beforeAutospacing="1" w:afterAutospacing="1"/>
            </w:pPr>
            <w:r w:rsidRPr="00177987">
              <w:rPr>
                <w:color w:val="000000"/>
                <w:sz w:val="22"/>
              </w:rPr>
              <w:t>Fair housing counseling</w:t>
            </w:r>
          </w:p>
        </w:tc>
        <w:tc>
          <w:tcPr>
            <w:tcW w:w="1530" w:type="dxa"/>
            <w:vAlign w:val="center"/>
          </w:tcPr>
          <w:p w:rsidR="00656AF3" w:rsidRPr="00177987" w:rsidRDefault="00656AF3" w:rsidP="000D7181">
            <w:pPr>
              <w:spacing w:beforeAutospacing="1" w:afterAutospacing="1"/>
            </w:pPr>
            <w:r w:rsidRPr="00177987">
              <w:rPr>
                <w:color w:val="000000"/>
                <w:sz w:val="22"/>
              </w:rPr>
              <w:t>Affordable Housing</w:t>
            </w:r>
            <w:r w:rsidRPr="00177987">
              <w:rPr>
                <w:color w:val="000000"/>
                <w:sz w:val="22"/>
              </w:rPr>
              <w:br/>
              <w:t>Public Housing</w:t>
            </w:r>
          </w:p>
        </w:tc>
        <w:tc>
          <w:tcPr>
            <w:tcW w:w="880" w:type="dxa"/>
            <w:vAlign w:val="center"/>
          </w:tcPr>
          <w:p w:rsidR="00656AF3" w:rsidRPr="00177987" w:rsidRDefault="00656AF3" w:rsidP="000D7181">
            <w:pPr>
              <w:spacing w:beforeAutospacing="1" w:afterAutospacing="1"/>
            </w:pPr>
            <w:r w:rsidRPr="00177987">
              <w:rPr>
                <w:color w:val="000000"/>
                <w:sz w:val="22"/>
              </w:rPr>
              <w:t>CDBG</w:t>
            </w:r>
          </w:p>
        </w:tc>
        <w:tc>
          <w:tcPr>
            <w:tcW w:w="2520" w:type="dxa"/>
            <w:vAlign w:val="center"/>
          </w:tcPr>
          <w:p w:rsidR="00656AF3" w:rsidRPr="00177987" w:rsidRDefault="00656AF3" w:rsidP="000D7181">
            <w:pPr>
              <w:spacing w:beforeAutospacing="1" w:afterAutospacing="1"/>
            </w:pPr>
            <w:r w:rsidRPr="00177987">
              <w:rPr>
                <w:color w:val="000000"/>
                <w:sz w:val="22"/>
              </w:rPr>
              <w:t>Public service activities for Low/Moderate Income Housing Benefit</w:t>
            </w:r>
          </w:p>
        </w:tc>
        <w:tc>
          <w:tcPr>
            <w:tcW w:w="1260" w:type="dxa"/>
            <w:vAlign w:val="center"/>
          </w:tcPr>
          <w:p w:rsidR="00656AF3" w:rsidRPr="00177987" w:rsidRDefault="00656AF3" w:rsidP="000D7181">
            <w:pPr>
              <w:spacing w:beforeAutospacing="1" w:afterAutospacing="1"/>
            </w:pPr>
            <w:r w:rsidRPr="00177987">
              <w:rPr>
                <w:color w:val="000000"/>
                <w:sz w:val="22"/>
              </w:rPr>
              <w:t>Households Assisted</w:t>
            </w:r>
          </w:p>
        </w:tc>
        <w:tc>
          <w:tcPr>
            <w:tcW w:w="990" w:type="dxa"/>
            <w:vAlign w:val="center"/>
          </w:tcPr>
          <w:p w:rsidR="00656AF3" w:rsidRPr="00177987" w:rsidRDefault="00656AF3" w:rsidP="000D7181">
            <w:pPr>
              <w:spacing w:beforeAutospacing="1" w:afterAutospacing="1"/>
            </w:pPr>
            <w:r w:rsidRPr="00177987">
              <w:rPr>
                <w:color w:val="000000"/>
                <w:sz w:val="22"/>
              </w:rPr>
              <w:t>50</w:t>
            </w:r>
          </w:p>
        </w:tc>
        <w:tc>
          <w:tcPr>
            <w:tcW w:w="921" w:type="dxa"/>
            <w:vAlign w:val="center"/>
          </w:tcPr>
          <w:p w:rsidR="00656AF3" w:rsidRPr="00177987" w:rsidRDefault="00177987" w:rsidP="000D7181">
            <w:pPr>
              <w:spacing w:beforeAutospacing="1" w:afterAutospacing="1"/>
            </w:pPr>
            <w:r w:rsidRPr="00177987">
              <w:rPr>
                <w:color w:val="000000"/>
                <w:sz w:val="22"/>
              </w:rPr>
              <w:t>20</w:t>
            </w:r>
          </w:p>
        </w:tc>
        <w:tc>
          <w:tcPr>
            <w:tcW w:w="1031" w:type="dxa"/>
            <w:vAlign w:val="center"/>
          </w:tcPr>
          <w:p w:rsidR="00656AF3" w:rsidRPr="00177987" w:rsidRDefault="00656AF3" w:rsidP="00177987">
            <w:pPr>
              <w:spacing w:beforeAutospacing="1" w:afterAutospacing="1"/>
            </w:pPr>
            <w:r w:rsidRPr="00177987">
              <w:rPr>
                <w:color w:val="000000"/>
                <w:sz w:val="22"/>
              </w:rPr>
              <w:t xml:space="preserve">  </w:t>
            </w:r>
            <w:r w:rsidR="00177987" w:rsidRPr="00177987">
              <w:rPr>
                <w:color w:val="000000"/>
                <w:sz w:val="22"/>
              </w:rPr>
              <w:t>40</w:t>
            </w:r>
            <w:r w:rsidRPr="00177987">
              <w:rPr>
                <w:color w:val="000000"/>
                <w:sz w:val="22"/>
              </w:rPr>
              <w:t>.00%</w:t>
            </w:r>
          </w:p>
        </w:tc>
        <w:tc>
          <w:tcPr>
            <w:tcW w:w="975" w:type="dxa"/>
            <w:vAlign w:val="center"/>
          </w:tcPr>
          <w:p w:rsidR="00656AF3" w:rsidRPr="00177987" w:rsidRDefault="00656AF3" w:rsidP="000D7181">
            <w:pPr>
              <w:spacing w:beforeAutospacing="1" w:afterAutospacing="1"/>
            </w:pPr>
            <w:r w:rsidRPr="00177987">
              <w:rPr>
                <w:color w:val="000000"/>
                <w:sz w:val="22"/>
              </w:rPr>
              <w:t xml:space="preserve"> 10</w:t>
            </w:r>
          </w:p>
        </w:tc>
        <w:tc>
          <w:tcPr>
            <w:tcW w:w="929" w:type="dxa"/>
            <w:vAlign w:val="center"/>
          </w:tcPr>
          <w:p w:rsidR="00656AF3" w:rsidRPr="00177987" w:rsidRDefault="00177987" w:rsidP="000D7181">
            <w:pPr>
              <w:spacing w:beforeAutospacing="1" w:afterAutospacing="1"/>
            </w:pPr>
            <w:r w:rsidRPr="00177987">
              <w:rPr>
                <w:color w:val="000000"/>
                <w:sz w:val="22"/>
              </w:rPr>
              <w:t>14</w:t>
            </w:r>
          </w:p>
        </w:tc>
        <w:tc>
          <w:tcPr>
            <w:tcW w:w="1034" w:type="dxa"/>
            <w:vAlign w:val="center"/>
          </w:tcPr>
          <w:p w:rsidR="00656AF3" w:rsidRPr="00177987" w:rsidRDefault="00177987" w:rsidP="000D7181">
            <w:pPr>
              <w:spacing w:beforeAutospacing="1" w:afterAutospacing="1"/>
            </w:pPr>
            <w:r w:rsidRPr="00177987">
              <w:rPr>
                <w:color w:val="000000"/>
                <w:sz w:val="22"/>
              </w:rPr>
              <w:t>14</w:t>
            </w:r>
            <w:r w:rsidR="00656AF3" w:rsidRPr="00177987">
              <w:rPr>
                <w:color w:val="000000"/>
                <w:sz w:val="22"/>
              </w:rPr>
              <w:t>0.00%</w:t>
            </w:r>
          </w:p>
        </w:tc>
      </w:tr>
      <w:tr w:rsidR="00656AF3" w:rsidTr="00045711">
        <w:trPr>
          <w:cantSplit/>
        </w:trPr>
        <w:tc>
          <w:tcPr>
            <w:tcW w:w="1658" w:type="dxa"/>
            <w:shd w:val="clear" w:color="auto" w:fill="BFBFBF" w:themeFill="background1" w:themeFillShade="BF"/>
            <w:vAlign w:val="center"/>
          </w:tcPr>
          <w:p w:rsidR="00656AF3" w:rsidRPr="00177987" w:rsidRDefault="00656AF3" w:rsidP="000D7181">
            <w:pPr>
              <w:spacing w:beforeAutospacing="1" w:afterAutospacing="1"/>
            </w:pPr>
            <w:r w:rsidRPr="00177987">
              <w:rPr>
                <w:color w:val="000000"/>
                <w:sz w:val="22"/>
              </w:rPr>
              <w:t>Fair housing education to households</w:t>
            </w:r>
          </w:p>
        </w:tc>
        <w:tc>
          <w:tcPr>
            <w:tcW w:w="1530" w:type="dxa"/>
            <w:vAlign w:val="center"/>
          </w:tcPr>
          <w:p w:rsidR="00656AF3" w:rsidRPr="00177987" w:rsidRDefault="00656AF3" w:rsidP="000D7181">
            <w:pPr>
              <w:spacing w:beforeAutospacing="1" w:afterAutospacing="1"/>
            </w:pPr>
            <w:r w:rsidRPr="00177987">
              <w:rPr>
                <w:color w:val="000000"/>
                <w:sz w:val="22"/>
              </w:rPr>
              <w:t>Affordable Housing</w:t>
            </w:r>
            <w:r w:rsidRPr="00177987">
              <w:rPr>
                <w:color w:val="000000"/>
                <w:sz w:val="22"/>
              </w:rPr>
              <w:br/>
              <w:t>Public Housing</w:t>
            </w:r>
          </w:p>
        </w:tc>
        <w:tc>
          <w:tcPr>
            <w:tcW w:w="880" w:type="dxa"/>
            <w:vAlign w:val="center"/>
          </w:tcPr>
          <w:p w:rsidR="00656AF3" w:rsidRPr="00177987" w:rsidRDefault="00656AF3" w:rsidP="000D7181">
            <w:pPr>
              <w:spacing w:beforeAutospacing="1" w:afterAutospacing="1"/>
            </w:pPr>
            <w:r w:rsidRPr="00177987">
              <w:rPr>
                <w:color w:val="000000"/>
                <w:sz w:val="22"/>
              </w:rPr>
              <w:t>CDBG</w:t>
            </w:r>
          </w:p>
        </w:tc>
        <w:tc>
          <w:tcPr>
            <w:tcW w:w="2520" w:type="dxa"/>
            <w:vAlign w:val="center"/>
          </w:tcPr>
          <w:p w:rsidR="00656AF3" w:rsidRPr="00177987" w:rsidRDefault="00656AF3" w:rsidP="000D7181">
            <w:pPr>
              <w:spacing w:beforeAutospacing="1" w:afterAutospacing="1"/>
            </w:pPr>
            <w:r w:rsidRPr="00177987">
              <w:rPr>
                <w:color w:val="000000"/>
                <w:sz w:val="22"/>
              </w:rPr>
              <w:t>Public service activities for Low/Moderate Income Housing Benefit</w:t>
            </w:r>
          </w:p>
        </w:tc>
        <w:tc>
          <w:tcPr>
            <w:tcW w:w="1260" w:type="dxa"/>
            <w:vAlign w:val="center"/>
          </w:tcPr>
          <w:p w:rsidR="00656AF3" w:rsidRPr="00177987" w:rsidRDefault="00656AF3" w:rsidP="000D7181">
            <w:pPr>
              <w:spacing w:beforeAutospacing="1" w:afterAutospacing="1"/>
            </w:pPr>
            <w:r w:rsidRPr="00177987">
              <w:rPr>
                <w:color w:val="000000"/>
                <w:sz w:val="22"/>
              </w:rPr>
              <w:t>Households Assisted</w:t>
            </w:r>
          </w:p>
        </w:tc>
        <w:tc>
          <w:tcPr>
            <w:tcW w:w="990" w:type="dxa"/>
            <w:vAlign w:val="center"/>
          </w:tcPr>
          <w:p w:rsidR="00656AF3" w:rsidRPr="00177987" w:rsidRDefault="00656AF3" w:rsidP="000D7181">
            <w:pPr>
              <w:spacing w:beforeAutospacing="1" w:afterAutospacing="1"/>
            </w:pPr>
            <w:r w:rsidRPr="00177987">
              <w:rPr>
                <w:color w:val="000000"/>
                <w:sz w:val="22"/>
              </w:rPr>
              <w:t>150</w:t>
            </w:r>
          </w:p>
        </w:tc>
        <w:tc>
          <w:tcPr>
            <w:tcW w:w="921" w:type="dxa"/>
            <w:vAlign w:val="center"/>
          </w:tcPr>
          <w:p w:rsidR="00656AF3" w:rsidRPr="00177987" w:rsidRDefault="00177987" w:rsidP="000D7181">
            <w:pPr>
              <w:spacing w:beforeAutospacing="1" w:afterAutospacing="1"/>
            </w:pPr>
            <w:r w:rsidRPr="00177987">
              <w:rPr>
                <w:color w:val="000000"/>
                <w:sz w:val="22"/>
              </w:rPr>
              <w:t>47</w:t>
            </w:r>
          </w:p>
        </w:tc>
        <w:tc>
          <w:tcPr>
            <w:tcW w:w="1031" w:type="dxa"/>
            <w:vAlign w:val="center"/>
          </w:tcPr>
          <w:p w:rsidR="00656AF3" w:rsidRPr="00177987" w:rsidRDefault="00656AF3" w:rsidP="00177987">
            <w:pPr>
              <w:spacing w:beforeAutospacing="1" w:afterAutospacing="1"/>
            </w:pPr>
            <w:r w:rsidRPr="00177987">
              <w:rPr>
                <w:color w:val="000000"/>
                <w:sz w:val="22"/>
              </w:rPr>
              <w:t xml:space="preserve"> </w:t>
            </w:r>
            <w:r w:rsidR="00177987" w:rsidRPr="00177987">
              <w:rPr>
                <w:color w:val="000000"/>
                <w:sz w:val="22"/>
              </w:rPr>
              <w:t xml:space="preserve"> 31</w:t>
            </w:r>
            <w:r w:rsidRPr="00177987">
              <w:rPr>
                <w:color w:val="000000"/>
                <w:sz w:val="22"/>
              </w:rPr>
              <w:t>.</w:t>
            </w:r>
            <w:r w:rsidR="00177987" w:rsidRPr="00177987">
              <w:rPr>
                <w:color w:val="000000"/>
                <w:sz w:val="22"/>
              </w:rPr>
              <w:t>33</w:t>
            </w:r>
            <w:r w:rsidRPr="00177987">
              <w:rPr>
                <w:color w:val="000000"/>
                <w:sz w:val="22"/>
              </w:rPr>
              <w:t>%</w:t>
            </w:r>
          </w:p>
        </w:tc>
        <w:tc>
          <w:tcPr>
            <w:tcW w:w="975" w:type="dxa"/>
            <w:vAlign w:val="center"/>
          </w:tcPr>
          <w:p w:rsidR="00656AF3" w:rsidRPr="00177987" w:rsidRDefault="00656AF3" w:rsidP="000D7181">
            <w:pPr>
              <w:spacing w:beforeAutospacing="1" w:afterAutospacing="1"/>
            </w:pPr>
            <w:r w:rsidRPr="00177987">
              <w:rPr>
                <w:color w:val="000000"/>
                <w:sz w:val="22"/>
              </w:rPr>
              <w:t xml:space="preserve"> 30</w:t>
            </w:r>
          </w:p>
        </w:tc>
        <w:tc>
          <w:tcPr>
            <w:tcW w:w="929" w:type="dxa"/>
            <w:vAlign w:val="center"/>
          </w:tcPr>
          <w:p w:rsidR="00656AF3" w:rsidRPr="00177987" w:rsidRDefault="00177987" w:rsidP="000D7181">
            <w:pPr>
              <w:spacing w:beforeAutospacing="1" w:afterAutospacing="1"/>
            </w:pPr>
            <w:r w:rsidRPr="00177987">
              <w:rPr>
                <w:color w:val="000000"/>
                <w:sz w:val="22"/>
              </w:rPr>
              <w:t>32</w:t>
            </w:r>
          </w:p>
        </w:tc>
        <w:tc>
          <w:tcPr>
            <w:tcW w:w="1034" w:type="dxa"/>
            <w:vAlign w:val="center"/>
          </w:tcPr>
          <w:p w:rsidR="00656AF3" w:rsidRPr="00177987" w:rsidRDefault="00177987" w:rsidP="00383080">
            <w:pPr>
              <w:spacing w:beforeAutospacing="1" w:afterAutospacing="1"/>
            </w:pPr>
            <w:r w:rsidRPr="00177987">
              <w:rPr>
                <w:color w:val="000000"/>
                <w:sz w:val="22"/>
              </w:rPr>
              <w:t>10</w:t>
            </w:r>
            <w:r w:rsidR="00383080">
              <w:rPr>
                <w:color w:val="000000"/>
                <w:sz w:val="22"/>
              </w:rPr>
              <w:t>6</w:t>
            </w:r>
            <w:r w:rsidR="00656AF3" w:rsidRPr="00177987">
              <w:rPr>
                <w:color w:val="000000"/>
                <w:sz w:val="22"/>
              </w:rPr>
              <w:t>.</w:t>
            </w:r>
            <w:r w:rsidR="00383080">
              <w:rPr>
                <w:color w:val="000000"/>
                <w:sz w:val="22"/>
              </w:rPr>
              <w:t>67</w:t>
            </w:r>
            <w:r w:rsidR="00656AF3" w:rsidRPr="00177987">
              <w:rPr>
                <w:color w:val="000000"/>
                <w:sz w:val="22"/>
              </w:rPr>
              <w:t>%</w:t>
            </w:r>
          </w:p>
        </w:tc>
      </w:tr>
      <w:tr w:rsidR="00656AF3" w:rsidTr="00045711">
        <w:trPr>
          <w:cantSplit/>
        </w:trPr>
        <w:tc>
          <w:tcPr>
            <w:tcW w:w="1658" w:type="dxa"/>
            <w:shd w:val="clear" w:color="auto" w:fill="BFBFBF" w:themeFill="background1" w:themeFillShade="BF"/>
            <w:vAlign w:val="center"/>
          </w:tcPr>
          <w:p w:rsidR="00656AF3" w:rsidRPr="00E42D27" w:rsidRDefault="00656AF3" w:rsidP="000D7181">
            <w:pPr>
              <w:spacing w:beforeAutospacing="1" w:afterAutospacing="1"/>
            </w:pPr>
            <w:r w:rsidRPr="00E42D27">
              <w:rPr>
                <w:color w:val="000000"/>
                <w:sz w:val="22"/>
              </w:rPr>
              <w:t>Fair housing education to housing professionals</w:t>
            </w:r>
          </w:p>
        </w:tc>
        <w:tc>
          <w:tcPr>
            <w:tcW w:w="1530" w:type="dxa"/>
            <w:vAlign w:val="center"/>
          </w:tcPr>
          <w:p w:rsidR="00656AF3" w:rsidRPr="00E42D27" w:rsidRDefault="00656AF3" w:rsidP="000D7181">
            <w:pPr>
              <w:spacing w:beforeAutospacing="1" w:afterAutospacing="1"/>
            </w:pPr>
            <w:r w:rsidRPr="00E42D27">
              <w:rPr>
                <w:color w:val="000000"/>
                <w:sz w:val="22"/>
              </w:rPr>
              <w:t>Affordable Housing</w:t>
            </w:r>
            <w:r w:rsidRPr="00E42D27">
              <w:rPr>
                <w:color w:val="000000"/>
                <w:sz w:val="22"/>
              </w:rPr>
              <w:br/>
              <w:t>Public Housing</w:t>
            </w:r>
          </w:p>
        </w:tc>
        <w:tc>
          <w:tcPr>
            <w:tcW w:w="880" w:type="dxa"/>
            <w:vAlign w:val="center"/>
          </w:tcPr>
          <w:p w:rsidR="00656AF3" w:rsidRPr="00E42D27" w:rsidRDefault="00656AF3" w:rsidP="000D7181">
            <w:pPr>
              <w:spacing w:beforeAutospacing="1" w:afterAutospacing="1"/>
            </w:pPr>
            <w:r w:rsidRPr="00E42D27">
              <w:rPr>
                <w:color w:val="000000"/>
                <w:sz w:val="22"/>
              </w:rPr>
              <w:t>CDBG</w:t>
            </w:r>
          </w:p>
        </w:tc>
        <w:tc>
          <w:tcPr>
            <w:tcW w:w="2520" w:type="dxa"/>
            <w:vAlign w:val="center"/>
          </w:tcPr>
          <w:p w:rsidR="00656AF3" w:rsidRPr="00E42D27" w:rsidRDefault="00656AF3" w:rsidP="000D7181">
            <w:pPr>
              <w:spacing w:beforeAutospacing="1" w:afterAutospacing="1"/>
            </w:pPr>
            <w:r w:rsidRPr="00E42D27">
              <w:rPr>
                <w:color w:val="000000"/>
                <w:sz w:val="22"/>
              </w:rPr>
              <w:t>Public service activities other than Low/Moderate Income Housing Benefit</w:t>
            </w:r>
          </w:p>
        </w:tc>
        <w:tc>
          <w:tcPr>
            <w:tcW w:w="1260" w:type="dxa"/>
            <w:vAlign w:val="center"/>
          </w:tcPr>
          <w:p w:rsidR="00656AF3" w:rsidRPr="00E42D27" w:rsidRDefault="00656AF3" w:rsidP="000D7181">
            <w:pPr>
              <w:spacing w:beforeAutospacing="1" w:afterAutospacing="1"/>
            </w:pPr>
            <w:r w:rsidRPr="00E42D27">
              <w:rPr>
                <w:color w:val="000000"/>
                <w:sz w:val="22"/>
              </w:rPr>
              <w:t>Persons Assisted</w:t>
            </w:r>
          </w:p>
        </w:tc>
        <w:tc>
          <w:tcPr>
            <w:tcW w:w="990" w:type="dxa"/>
            <w:vAlign w:val="center"/>
          </w:tcPr>
          <w:p w:rsidR="00656AF3" w:rsidRPr="00E42D27" w:rsidRDefault="00656AF3" w:rsidP="000D7181">
            <w:pPr>
              <w:spacing w:beforeAutospacing="1" w:afterAutospacing="1"/>
            </w:pPr>
            <w:r w:rsidRPr="00E42D27">
              <w:rPr>
                <w:color w:val="000000"/>
                <w:sz w:val="22"/>
              </w:rPr>
              <w:t>100</w:t>
            </w:r>
          </w:p>
        </w:tc>
        <w:tc>
          <w:tcPr>
            <w:tcW w:w="921" w:type="dxa"/>
            <w:vAlign w:val="center"/>
          </w:tcPr>
          <w:p w:rsidR="00656AF3" w:rsidRPr="00E42D27" w:rsidRDefault="00E42D27" w:rsidP="000D7181">
            <w:pPr>
              <w:spacing w:beforeAutospacing="1" w:afterAutospacing="1"/>
            </w:pPr>
            <w:r w:rsidRPr="00E42D27">
              <w:rPr>
                <w:color w:val="000000"/>
                <w:sz w:val="22"/>
              </w:rPr>
              <w:t>115</w:t>
            </w:r>
          </w:p>
        </w:tc>
        <w:tc>
          <w:tcPr>
            <w:tcW w:w="1031" w:type="dxa"/>
            <w:vAlign w:val="center"/>
          </w:tcPr>
          <w:p w:rsidR="00656AF3" w:rsidRPr="00E42D27" w:rsidRDefault="00E42D27" w:rsidP="000D7181">
            <w:pPr>
              <w:spacing w:beforeAutospacing="1" w:afterAutospacing="1"/>
            </w:pPr>
            <w:r w:rsidRPr="00E42D27">
              <w:rPr>
                <w:color w:val="000000"/>
                <w:sz w:val="22"/>
              </w:rPr>
              <w:t>115</w:t>
            </w:r>
            <w:r w:rsidR="00656AF3" w:rsidRPr="00E42D27">
              <w:rPr>
                <w:color w:val="000000"/>
                <w:sz w:val="22"/>
              </w:rPr>
              <w:t>.00%</w:t>
            </w:r>
          </w:p>
        </w:tc>
        <w:tc>
          <w:tcPr>
            <w:tcW w:w="975" w:type="dxa"/>
            <w:vAlign w:val="center"/>
          </w:tcPr>
          <w:p w:rsidR="00656AF3" w:rsidRPr="00E42D27" w:rsidRDefault="00656AF3" w:rsidP="000D7181">
            <w:pPr>
              <w:spacing w:beforeAutospacing="1" w:afterAutospacing="1"/>
            </w:pPr>
            <w:r w:rsidRPr="00E42D27">
              <w:rPr>
                <w:color w:val="000000"/>
                <w:sz w:val="22"/>
              </w:rPr>
              <w:t>20</w:t>
            </w:r>
          </w:p>
        </w:tc>
        <w:tc>
          <w:tcPr>
            <w:tcW w:w="929" w:type="dxa"/>
            <w:vAlign w:val="center"/>
          </w:tcPr>
          <w:p w:rsidR="00656AF3" w:rsidRPr="00E42D27" w:rsidRDefault="00E42D27" w:rsidP="000D7181">
            <w:pPr>
              <w:spacing w:beforeAutospacing="1" w:afterAutospacing="1"/>
            </w:pPr>
            <w:r w:rsidRPr="00E42D27">
              <w:rPr>
                <w:color w:val="000000"/>
                <w:sz w:val="22"/>
              </w:rPr>
              <w:t>72</w:t>
            </w:r>
          </w:p>
        </w:tc>
        <w:tc>
          <w:tcPr>
            <w:tcW w:w="1034" w:type="dxa"/>
            <w:vAlign w:val="center"/>
          </w:tcPr>
          <w:p w:rsidR="00656AF3" w:rsidRPr="00E42D27" w:rsidRDefault="00E42D27" w:rsidP="000D7181">
            <w:pPr>
              <w:spacing w:beforeAutospacing="1" w:afterAutospacing="1"/>
            </w:pPr>
            <w:r w:rsidRPr="00E42D27">
              <w:rPr>
                <w:color w:val="000000"/>
                <w:sz w:val="22"/>
              </w:rPr>
              <w:t>360</w:t>
            </w:r>
            <w:r w:rsidR="00656AF3" w:rsidRPr="00E42D27">
              <w:rPr>
                <w:color w:val="000000"/>
                <w:sz w:val="22"/>
              </w:rPr>
              <w:t>.00%</w:t>
            </w:r>
          </w:p>
        </w:tc>
      </w:tr>
      <w:tr w:rsidR="00656AF3" w:rsidTr="00045711">
        <w:trPr>
          <w:cantSplit/>
        </w:trPr>
        <w:tc>
          <w:tcPr>
            <w:tcW w:w="1658" w:type="dxa"/>
            <w:shd w:val="clear" w:color="auto" w:fill="BFBFBF" w:themeFill="background1" w:themeFillShade="BF"/>
            <w:vAlign w:val="center"/>
          </w:tcPr>
          <w:p w:rsidR="00656AF3" w:rsidRDefault="00656AF3" w:rsidP="000D7181">
            <w:pPr>
              <w:spacing w:beforeAutospacing="1" w:afterAutospacing="1"/>
            </w:pPr>
            <w:r>
              <w:rPr>
                <w:color w:val="000000"/>
                <w:sz w:val="22"/>
              </w:rPr>
              <w:t>Homebuyer Assistance</w:t>
            </w:r>
          </w:p>
        </w:tc>
        <w:tc>
          <w:tcPr>
            <w:tcW w:w="1530" w:type="dxa"/>
            <w:vAlign w:val="center"/>
          </w:tcPr>
          <w:p w:rsidR="00656AF3" w:rsidRDefault="00656AF3" w:rsidP="000D7181">
            <w:pPr>
              <w:spacing w:beforeAutospacing="1" w:afterAutospacing="1"/>
            </w:pPr>
            <w:r>
              <w:rPr>
                <w:color w:val="000000"/>
                <w:sz w:val="22"/>
              </w:rPr>
              <w:t>Affordable Housing</w:t>
            </w:r>
          </w:p>
        </w:tc>
        <w:tc>
          <w:tcPr>
            <w:tcW w:w="880" w:type="dxa"/>
            <w:vAlign w:val="center"/>
          </w:tcPr>
          <w:p w:rsidR="00656AF3" w:rsidRDefault="00656AF3" w:rsidP="000D7181">
            <w:pPr>
              <w:spacing w:beforeAutospacing="1" w:afterAutospacing="1"/>
            </w:pPr>
            <w:r>
              <w:rPr>
                <w:color w:val="000000"/>
                <w:sz w:val="22"/>
              </w:rPr>
              <w:t>HOME</w:t>
            </w:r>
          </w:p>
        </w:tc>
        <w:tc>
          <w:tcPr>
            <w:tcW w:w="2520" w:type="dxa"/>
            <w:vAlign w:val="center"/>
          </w:tcPr>
          <w:p w:rsidR="00656AF3" w:rsidRDefault="00656AF3" w:rsidP="000D7181">
            <w:pPr>
              <w:spacing w:beforeAutospacing="1" w:afterAutospacing="1"/>
            </w:pPr>
            <w:r>
              <w:rPr>
                <w:color w:val="000000"/>
                <w:sz w:val="22"/>
              </w:rPr>
              <w:t>Direct Financial Assistance to Homebuyers</w:t>
            </w:r>
          </w:p>
        </w:tc>
        <w:tc>
          <w:tcPr>
            <w:tcW w:w="1260" w:type="dxa"/>
            <w:vAlign w:val="center"/>
          </w:tcPr>
          <w:p w:rsidR="00656AF3" w:rsidRDefault="00656AF3" w:rsidP="000D7181">
            <w:pPr>
              <w:spacing w:beforeAutospacing="1" w:afterAutospacing="1"/>
            </w:pPr>
            <w:r>
              <w:rPr>
                <w:color w:val="000000"/>
                <w:sz w:val="22"/>
              </w:rPr>
              <w:t>Households Assisted</w:t>
            </w:r>
          </w:p>
        </w:tc>
        <w:tc>
          <w:tcPr>
            <w:tcW w:w="990" w:type="dxa"/>
            <w:vAlign w:val="center"/>
          </w:tcPr>
          <w:p w:rsidR="00656AF3" w:rsidRDefault="00656AF3" w:rsidP="000D7181">
            <w:pPr>
              <w:spacing w:beforeAutospacing="1" w:afterAutospacing="1"/>
            </w:pPr>
            <w:r>
              <w:rPr>
                <w:color w:val="000000"/>
                <w:sz w:val="22"/>
              </w:rPr>
              <w:t>60</w:t>
            </w:r>
          </w:p>
        </w:tc>
        <w:tc>
          <w:tcPr>
            <w:tcW w:w="921" w:type="dxa"/>
            <w:vAlign w:val="center"/>
          </w:tcPr>
          <w:p w:rsidR="00656AF3" w:rsidRDefault="001776D0" w:rsidP="000D7181">
            <w:pPr>
              <w:spacing w:beforeAutospacing="1" w:afterAutospacing="1"/>
            </w:pPr>
            <w:r>
              <w:rPr>
                <w:color w:val="000000"/>
                <w:sz w:val="22"/>
              </w:rPr>
              <w:t>64</w:t>
            </w:r>
          </w:p>
        </w:tc>
        <w:tc>
          <w:tcPr>
            <w:tcW w:w="1031" w:type="dxa"/>
            <w:vAlign w:val="center"/>
          </w:tcPr>
          <w:p w:rsidR="00656AF3" w:rsidRDefault="001776D0" w:rsidP="001776D0">
            <w:pPr>
              <w:spacing w:beforeAutospacing="1" w:afterAutospacing="1"/>
            </w:pPr>
            <w:r>
              <w:rPr>
                <w:color w:val="000000"/>
                <w:sz w:val="22"/>
              </w:rPr>
              <w:t>106</w:t>
            </w:r>
            <w:r w:rsidR="00656AF3">
              <w:rPr>
                <w:color w:val="000000"/>
                <w:sz w:val="22"/>
              </w:rPr>
              <w:t>.</w:t>
            </w:r>
            <w:r>
              <w:rPr>
                <w:color w:val="000000"/>
                <w:sz w:val="22"/>
              </w:rPr>
              <w:t>67</w:t>
            </w:r>
            <w:r w:rsidR="00656AF3">
              <w:rPr>
                <w:color w:val="000000"/>
                <w:sz w:val="22"/>
              </w:rPr>
              <w:t>%</w:t>
            </w:r>
          </w:p>
        </w:tc>
        <w:tc>
          <w:tcPr>
            <w:tcW w:w="975" w:type="dxa"/>
            <w:vAlign w:val="center"/>
          </w:tcPr>
          <w:p w:rsidR="00656AF3" w:rsidRDefault="00656AF3" w:rsidP="000D7181">
            <w:pPr>
              <w:spacing w:beforeAutospacing="1" w:afterAutospacing="1"/>
            </w:pPr>
            <w:r>
              <w:rPr>
                <w:color w:val="000000"/>
                <w:sz w:val="22"/>
              </w:rPr>
              <w:t>12</w:t>
            </w:r>
          </w:p>
        </w:tc>
        <w:tc>
          <w:tcPr>
            <w:tcW w:w="929" w:type="dxa"/>
            <w:vAlign w:val="center"/>
          </w:tcPr>
          <w:p w:rsidR="00656AF3" w:rsidRDefault="001776D0" w:rsidP="000D7181">
            <w:pPr>
              <w:spacing w:beforeAutospacing="1" w:afterAutospacing="1"/>
            </w:pPr>
            <w:r>
              <w:rPr>
                <w:color w:val="000000"/>
                <w:sz w:val="22"/>
              </w:rPr>
              <w:t>35</w:t>
            </w:r>
          </w:p>
        </w:tc>
        <w:tc>
          <w:tcPr>
            <w:tcW w:w="1034" w:type="dxa"/>
            <w:vAlign w:val="center"/>
          </w:tcPr>
          <w:p w:rsidR="00656AF3" w:rsidRDefault="001776D0" w:rsidP="000D7181">
            <w:pPr>
              <w:spacing w:beforeAutospacing="1" w:afterAutospacing="1"/>
            </w:pPr>
            <w:r>
              <w:rPr>
                <w:color w:val="000000"/>
                <w:sz w:val="22"/>
              </w:rPr>
              <w:t>29</w:t>
            </w:r>
            <w:r w:rsidR="00656AF3">
              <w:rPr>
                <w:color w:val="000000"/>
                <w:sz w:val="22"/>
              </w:rPr>
              <w:t>1.67%</w:t>
            </w:r>
          </w:p>
        </w:tc>
      </w:tr>
      <w:tr w:rsidR="00656AF3" w:rsidTr="00045711">
        <w:trPr>
          <w:cantSplit/>
        </w:trPr>
        <w:tc>
          <w:tcPr>
            <w:tcW w:w="1658" w:type="dxa"/>
            <w:shd w:val="clear" w:color="auto" w:fill="BFBFBF" w:themeFill="background1" w:themeFillShade="BF"/>
            <w:vAlign w:val="center"/>
          </w:tcPr>
          <w:p w:rsidR="00656AF3" w:rsidRDefault="00656AF3" w:rsidP="000D7181">
            <w:pPr>
              <w:spacing w:beforeAutospacing="1" w:afterAutospacing="1"/>
            </w:pPr>
            <w:r>
              <w:rPr>
                <w:color w:val="000000"/>
                <w:sz w:val="22"/>
              </w:rPr>
              <w:t>Homebuyer education</w:t>
            </w:r>
          </w:p>
        </w:tc>
        <w:tc>
          <w:tcPr>
            <w:tcW w:w="1530" w:type="dxa"/>
            <w:vAlign w:val="center"/>
          </w:tcPr>
          <w:p w:rsidR="00656AF3" w:rsidRDefault="00656AF3" w:rsidP="000D7181">
            <w:pPr>
              <w:spacing w:beforeAutospacing="1" w:afterAutospacing="1"/>
            </w:pPr>
            <w:r>
              <w:rPr>
                <w:color w:val="000000"/>
                <w:sz w:val="22"/>
              </w:rPr>
              <w:t>Affordable Housing</w:t>
            </w:r>
          </w:p>
        </w:tc>
        <w:tc>
          <w:tcPr>
            <w:tcW w:w="880" w:type="dxa"/>
            <w:vAlign w:val="center"/>
          </w:tcPr>
          <w:p w:rsidR="00656AF3" w:rsidRDefault="00656AF3" w:rsidP="000D7181">
            <w:pPr>
              <w:spacing w:beforeAutospacing="1" w:afterAutospacing="1"/>
            </w:pPr>
            <w:r>
              <w:rPr>
                <w:color w:val="000000"/>
                <w:sz w:val="22"/>
              </w:rPr>
              <w:t>CDBG</w:t>
            </w:r>
          </w:p>
        </w:tc>
        <w:tc>
          <w:tcPr>
            <w:tcW w:w="2520" w:type="dxa"/>
            <w:vAlign w:val="center"/>
          </w:tcPr>
          <w:p w:rsidR="00656AF3" w:rsidRDefault="00656AF3" w:rsidP="000D7181">
            <w:pPr>
              <w:spacing w:beforeAutospacing="1" w:afterAutospacing="1"/>
            </w:pPr>
            <w:r>
              <w:rPr>
                <w:color w:val="000000"/>
                <w:sz w:val="22"/>
              </w:rPr>
              <w:t>Public service activities for Low/Moderate Income Housing Benefit</w:t>
            </w:r>
          </w:p>
        </w:tc>
        <w:tc>
          <w:tcPr>
            <w:tcW w:w="1260" w:type="dxa"/>
            <w:vAlign w:val="center"/>
          </w:tcPr>
          <w:p w:rsidR="00656AF3" w:rsidRDefault="00656AF3" w:rsidP="000D7181">
            <w:pPr>
              <w:spacing w:beforeAutospacing="1" w:afterAutospacing="1"/>
            </w:pPr>
            <w:r>
              <w:rPr>
                <w:color w:val="000000"/>
                <w:sz w:val="22"/>
              </w:rPr>
              <w:t>Households Assisted</w:t>
            </w:r>
          </w:p>
        </w:tc>
        <w:tc>
          <w:tcPr>
            <w:tcW w:w="990" w:type="dxa"/>
            <w:vAlign w:val="center"/>
          </w:tcPr>
          <w:p w:rsidR="00656AF3" w:rsidRDefault="00656AF3" w:rsidP="000D7181">
            <w:pPr>
              <w:spacing w:beforeAutospacing="1" w:afterAutospacing="1"/>
            </w:pPr>
            <w:r>
              <w:rPr>
                <w:color w:val="000000"/>
                <w:sz w:val="22"/>
              </w:rPr>
              <w:t>450</w:t>
            </w:r>
          </w:p>
        </w:tc>
        <w:tc>
          <w:tcPr>
            <w:tcW w:w="921" w:type="dxa"/>
            <w:vAlign w:val="center"/>
          </w:tcPr>
          <w:p w:rsidR="00656AF3" w:rsidRDefault="001776D0" w:rsidP="000D7181">
            <w:pPr>
              <w:spacing w:beforeAutospacing="1" w:afterAutospacing="1"/>
            </w:pPr>
            <w:r>
              <w:rPr>
                <w:color w:val="000000"/>
                <w:sz w:val="22"/>
              </w:rPr>
              <w:t>272</w:t>
            </w:r>
          </w:p>
        </w:tc>
        <w:tc>
          <w:tcPr>
            <w:tcW w:w="1031" w:type="dxa"/>
            <w:vAlign w:val="center"/>
          </w:tcPr>
          <w:p w:rsidR="00656AF3" w:rsidRDefault="001776D0" w:rsidP="001776D0">
            <w:pPr>
              <w:spacing w:beforeAutospacing="1" w:afterAutospacing="1"/>
            </w:pPr>
            <w:r>
              <w:rPr>
                <w:color w:val="000000"/>
                <w:sz w:val="22"/>
              </w:rPr>
              <w:t>60</w:t>
            </w:r>
            <w:r w:rsidR="00656AF3">
              <w:rPr>
                <w:color w:val="000000"/>
                <w:sz w:val="22"/>
              </w:rPr>
              <w:t>.</w:t>
            </w:r>
            <w:r>
              <w:rPr>
                <w:color w:val="000000"/>
                <w:sz w:val="22"/>
              </w:rPr>
              <w:t>44</w:t>
            </w:r>
            <w:r w:rsidR="00656AF3">
              <w:rPr>
                <w:color w:val="000000"/>
                <w:sz w:val="22"/>
              </w:rPr>
              <w:t>%</w:t>
            </w:r>
          </w:p>
        </w:tc>
        <w:tc>
          <w:tcPr>
            <w:tcW w:w="975" w:type="dxa"/>
            <w:vAlign w:val="center"/>
          </w:tcPr>
          <w:p w:rsidR="00656AF3" w:rsidRDefault="00656AF3" w:rsidP="000D7181">
            <w:pPr>
              <w:spacing w:beforeAutospacing="1" w:afterAutospacing="1"/>
            </w:pPr>
            <w:r>
              <w:rPr>
                <w:color w:val="000000"/>
                <w:sz w:val="22"/>
              </w:rPr>
              <w:t xml:space="preserve"> 90</w:t>
            </w:r>
          </w:p>
        </w:tc>
        <w:tc>
          <w:tcPr>
            <w:tcW w:w="929" w:type="dxa"/>
            <w:vAlign w:val="center"/>
          </w:tcPr>
          <w:p w:rsidR="00656AF3" w:rsidRDefault="001776D0" w:rsidP="000D7181">
            <w:pPr>
              <w:spacing w:beforeAutospacing="1" w:afterAutospacing="1"/>
            </w:pPr>
            <w:r>
              <w:rPr>
                <w:color w:val="000000"/>
                <w:sz w:val="22"/>
              </w:rPr>
              <w:t>165</w:t>
            </w:r>
          </w:p>
        </w:tc>
        <w:tc>
          <w:tcPr>
            <w:tcW w:w="1034" w:type="dxa"/>
            <w:vAlign w:val="center"/>
          </w:tcPr>
          <w:p w:rsidR="00656AF3" w:rsidRDefault="00656AF3" w:rsidP="001776D0">
            <w:pPr>
              <w:spacing w:beforeAutospacing="1" w:afterAutospacing="1"/>
            </w:pPr>
            <w:r>
              <w:rPr>
                <w:color w:val="000000"/>
                <w:sz w:val="22"/>
              </w:rPr>
              <w:t>1</w:t>
            </w:r>
            <w:r w:rsidR="001776D0">
              <w:rPr>
                <w:color w:val="000000"/>
                <w:sz w:val="22"/>
              </w:rPr>
              <w:t>83</w:t>
            </w:r>
            <w:r>
              <w:rPr>
                <w:color w:val="000000"/>
                <w:sz w:val="22"/>
              </w:rPr>
              <w:t>.</w:t>
            </w:r>
            <w:r w:rsidR="001776D0">
              <w:rPr>
                <w:color w:val="000000"/>
                <w:sz w:val="22"/>
              </w:rPr>
              <w:t>33</w:t>
            </w:r>
            <w:r>
              <w:rPr>
                <w:color w:val="000000"/>
                <w:sz w:val="22"/>
              </w:rPr>
              <w:t>%</w:t>
            </w:r>
          </w:p>
        </w:tc>
      </w:tr>
      <w:tr w:rsidR="00656AF3" w:rsidTr="00045711">
        <w:trPr>
          <w:cantSplit/>
        </w:trPr>
        <w:tc>
          <w:tcPr>
            <w:tcW w:w="1658" w:type="dxa"/>
            <w:shd w:val="clear" w:color="auto" w:fill="BFBFBF" w:themeFill="background1" w:themeFillShade="BF"/>
            <w:vAlign w:val="center"/>
          </w:tcPr>
          <w:p w:rsidR="00656AF3" w:rsidRDefault="00656AF3" w:rsidP="000D7181">
            <w:pPr>
              <w:spacing w:beforeAutospacing="1" w:afterAutospacing="1"/>
            </w:pPr>
            <w:r>
              <w:rPr>
                <w:color w:val="000000"/>
                <w:sz w:val="22"/>
              </w:rPr>
              <w:t>Microlending</w:t>
            </w:r>
          </w:p>
        </w:tc>
        <w:tc>
          <w:tcPr>
            <w:tcW w:w="1530" w:type="dxa"/>
            <w:vAlign w:val="center"/>
          </w:tcPr>
          <w:p w:rsidR="00656AF3" w:rsidRDefault="00656AF3" w:rsidP="000D7181">
            <w:pPr>
              <w:spacing w:beforeAutospacing="1" w:afterAutospacing="1"/>
            </w:pPr>
            <w:r>
              <w:rPr>
                <w:color w:val="000000"/>
                <w:sz w:val="22"/>
              </w:rPr>
              <w:t>Non-Homeless Special Needs</w:t>
            </w:r>
          </w:p>
        </w:tc>
        <w:tc>
          <w:tcPr>
            <w:tcW w:w="880" w:type="dxa"/>
            <w:vAlign w:val="center"/>
          </w:tcPr>
          <w:p w:rsidR="00656AF3" w:rsidRDefault="00656AF3" w:rsidP="000D7181">
            <w:pPr>
              <w:spacing w:beforeAutospacing="1" w:afterAutospacing="1"/>
            </w:pPr>
            <w:r>
              <w:rPr>
                <w:color w:val="000000"/>
                <w:sz w:val="22"/>
              </w:rPr>
              <w:t>CDBG</w:t>
            </w:r>
          </w:p>
        </w:tc>
        <w:tc>
          <w:tcPr>
            <w:tcW w:w="2520" w:type="dxa"/>
            <w:vAlign w:val="center"/>
          </w:tcPr>
          <w:p w:rsidR="00656AF3" w:rsidRDefault="00656AF3" w:rsidP="000D7181">
            <w:pPr>
              <w:spacing w:beforeAutospacing="1" w:afterAutospacing="1"/>
            </w:pPr>
            <w:r>
              <w:rPr>
                <w:color w:val="000000"/>
                <w:sz w:val="22"/>
              </w:rPr>
              <w:t>Businesses assisted</w:t>
            </w:r>
          </w:p>
        </w:tc>
        <w:tc>
          <w:tcPr>
            <w:tcW w:w="1260" w:type="dxa"/>
            <w:vAlign w:val="center"/>
          </w:tcPr>
          <w:p w:rsidR="00656AF3" w:rsidRDefault="00656AF3" w:rsidP="000D7181">
            <w:pPr>
              <w:spacing w:beforeAutospacing="1" w:afterAutospacing="1"/>
            </w:pPr>
            <w:r>
              <w:rPr>
                <w:color w:val="000000"/>
                <w:sz w:val="22"/>
              </w:rPr>
              <w:t>Businesses Assisted</w:t>
            </w:r>
          </w:p>
        </w:tc>
        <w:tc>
          <w:tcPr>
            <w:tcW w:w="990" w:type="dxa"/>
            <w:vAlign w:val="center"/>
          </w:tcPr>
          <w:p w:rsidR="00656AF3" w:rsidRDefault="00656AF3" w:rsidP="000D7181">
            <w:pPr>
              <w:spacing w:beforeAutospacing="1" w:afterAutospacing="1"/>
            </w:pPr>
            <w:r>
              <w:rPr>
                <w:color w:val="000000"/>
                <w:sz w:val="22"/>
              </w:rPr>
              <w:t>15</w:t>
            </w:r>
          </w:p>
        </w:tc>
        <w:tc>
          <w:tcPr>
            <w:tcW w:w="921" w:type="dxa"/>
            <w:vAlign w:val="center"/>
          </w:tcPr>
          <w:p w:rsidR="00656AF3" w:rsidRDefault="001776D0" w:rsidP="000D7181">
            <w:pPr>
              <w:spacing w:beforeAutospacing="1" w:afterAutospacing="1"/>
            </w:pPr>
            <w:r>
              <w:rPr>
                <w:color w:val="000000"/>
                <w:sz w:val="22"/>
              </w:rPr>
              <w:t>1</w:t>
            </w:r>
          </w:p>
        </w:tc>
        <w:tc>
          <w:tcPr>
            <w:tcW w:w="1031" w:type="dxa"/>
            <w:vAlign w:val="center"/>
          </w:tcPr>
          <w:p w:rsidR="00656AF3" w:rsidRDefault="00656AF3" w:rsidP="001776D0">
            <w:pPr>
              <w:spacing w:beforeAutospacing="1" w:afterAutospacing="1"/>
            </w:pPr>
            <w:r>
              <w:rPr>
                <w:color w:val="000000"/>
                <w:sz w:val="22"/>
              </w:rPr>
              <w:t xml:space="preserve">   6.67%</w:t>
            </w:r>
          </w:p>
        </w:tc>
        <w:tc>
          <w:tcPr>
            <w:tcW w:w="975" w:type="dxa"/>
            <w:vAlign w:val="center"/>
          </w:tcPr>
          <w:p w:rsidR="00656AF3" w:rsidRDefault="00656AF3" w:rsidP="000D7181">
            <w:pPr>
              <w:spacing w:beforeAutospacing="1" w:afterAutospacing="1"/>
            </w:pPr>
            <w:r>
              <w:rPr>
                <w:color w:val="000000"/>
                <w:sz w:val="22"/>
              </w:rPr>
              <w:t>4</w:t>
            </w:r>
          </w:p>
        </w:tc>
        <w:tc>
          <w:tcPr>
            <w:tcW w:w="929" w:type="dxa"/>
            <w:vAlign w:val="center"/>
          </w:tcPr>
          <w:p w:rsidR="00656AF3" w:rsidRDefault="001776D0" w:rsidP="000D7181">
            <w:pPr>
              <w:spacing w:beforeAutospacing="1" w:afterAutospacing="1"/>
            </w:pPr>
            <w:r>
              <w:rPr>
                <w:color w:val="000000"/>
                <w:sz w:val="22"/>
              </w:rPr>
              <w:t>0</w:t>
            </w:r>
          </w:p>
        </w:tc>
        <w:tc>
          <w:tcPr>
            <w:tcW w:w="1034" w:type="dxa"/>
            <w:vAlign w:val="center"/>
          </w:tcPr>
          <w:p w:rsidR="00656AF3" w:rsidRDefault="00656AF3" w:rsidP="001776D0">
            <w:pPr>
              <w:spacing w:beforeAutospacing="1" w:afterAutospacing="1"/>
            </w:pPr>
            <w:r>
              <w:rPr>
                <w:color w:val="000000"/>
                <w:sz w:val="22"/>
              </w:rPr>
              <w:t xml:space="preserve">     </w:t>
            </w:r>
            <w:r w:rsidR="001776D0">
              <w:rPr>
                <w:color w:val="000000"/>
                <w:sz w:val="22"/>
              </w:rPr>
              <w:t>0</w:t>
            </w:r>
            <w:r>
              <w:rPr>
                <w:color w:val="000000"/>
                <w:sz w:val="22"/>
              </w:rPr>
              <w:t>.00%</w:t>
            </w:r>
          </w:p>
        </w:tc>
      </w:tr>
      <w:tr w:rsidR="00656AF3" w:rsidTr="00045711">
        <w:trPr>
          <w:cantSplit/>
        </w:trPr>
        <w:tc>
          <w:tcPr>
            <w:tcW w:w="1658" w:type="dxa"/>
            <w:shd w:val="clear" w:color="auto" w:fill="BFBFBF" w:themeFill="background1" w:themeFillShade="BF"/>
            <w:vAlign w:val="center"/>
          </w:tcPr>
          <w:p w:rsidR="00656AF3" w:rsidRDefault="00656AF3" w:rsidP="000D7181">
            <w:pPr>
              <w:spacing w:beforeAutospacing="1" w:afterAutospacing="1"/>
            </w:pPr>
            <w:r>
              <w:rPr>
                <w:color w:val="000000"/>
                <w:sz w:val="22"/>
              </w:rPr>
              <w:t>New housing construction</w:t>
            </w:r>
          </w:p>
        </w:tc>
        <w:tc>
          <w:tcPr>
            <w:tcW w:w="1530" w:type="dxa"/>
            <w:vAlign w:val="center"/>
          </w:tcPr>
          <w:p w:rsidR="00656AF3" w:rsidRDefault="00656AF3" w:rsidP="000D7181">
            <w:pPr>
              <w:spacing w:beforeAutospacing="1" w:afterAutospacing="1"/>
            </w:pPr>
            <w:r>
              <w:rPr>
                <w:color w:val="000000"/>
                <w:sz w:val="22"/>
              </w:rPr>
              <w:t>Affordable Housing</w:t>
            </w:r>
          </w:p>
        </w:tc>
        <w:tc>
          <w:tcPr>
            <w:tcW w:w="880" w:type="dxa"/>
            <w:vAlign w:val="center"/>
          </w:tcPr>
          <w:p w:rsidR="00656AF3" w:rsidRDefault="00656AF3" w:rsidP="000D7181">
            <w:pPr>
              <w:spacing w:beforeAutospacing="1" w:afterAutospacing="1"/>
            </w:pPr>
            <w:r>
              <w:rPr>
                <w:color w:val="000000"/>
                <w:sz w:val="22"/>
              </w:rPr>
              <w:t>HOME</w:t>
            </w:r>
          </w:p>
        </w:tc>
        <w:tc>
          <w:tcPr>
            <w:tcW w:w="2520" w:type="dxa"/>
            <w:vAlign w:val="center"/>
          </w:tcPr>
          <w:p w:rsidR="00656AF3" w:rsidRDefault="00656AF3" w:rsidP="000D7181">
            <w:pPr>
              <w:spacing w:beforeAutospacing="1" w:afterAutospacing="1"/>
            </w:pPr>
            <w:r>
              <w:rPr>
                <w:color w:val="000000"/>
                <w:sz w:val="22"/>
              </w:rPr>
              <w:t>Homeowner Housing Added</w:t>
            </w:r>
          </w:p>
        </w:tc>
        <w:tc>
          <w:tcPr>
            <w:tcW w:w="1260" w:type="dxa"/>
            <w:vAlign w:val="center"/>
          </w:tcPr>
          <w:p w:rsidR="00656AF3" w:rsidRDefault="00656AF3" w:rsidP="000D7181">
            <w:pPr>
              <w:spacing w:beforeAutospacing="1" w:afterAutospacing="1"/>
            </w:pPr>
            <w:r>
              <w:rPr>
                <w:color w:val="000000"/>
                <w:sz w:val="22"/>
              </w:rPr>
              <w:t>Household Housing Unit</w:t>
            </w:r>
          </w:p>
        </w:tc>
        <w:tc>
          <w:tcPr>
            <w:tcW w:w="990" w:type="dxa"/>
            <w:vAlign w:val="center"/>
          </w:tcPr>
          <w:p w:rsidR="00656AF3" w:rsidRDefault="00656AF3" w:rsidP="000D7181">
            <w:pPr>
              <w:spacing w:beforeAutospacing="1" w:afterAutospacing="1"/>
            </w:pPr>
            <w:r>
              <w:rPr>
                <w:color w:val="000000"/>
                <w:sz w:val="22"/>
              </w:rPr>
              <w:t>15</w:t>
            </w:r>
          </w:p>
        </w:tc>
        <w:tc>
          <w:tcPr>
            <w:tcW w:w="921" w:type="dxa"/>
            <w:vAlign w:val="center"/>
          </w:tcPr>
          <w:p w:rsidR="00656AF3" w:rsidRDefault="00795A66" w:rsidP="000D7181">
            <w:pPr>
              <w:spacing w:beforeAutospacing="1" w:afterAutospacing="1"/>
            </w:pPr>
            <w:r>
              <w:rPr>
                <w:color w:val="000000"/>
                <w:sz w:val="22"/>
              </w:rPr>
              <w:t>5</w:t>
            </w:r>
          </w:p>
        </w:tc>
        <w:tc>
          <w:tcPr>
            <w:tcW w:w="1031" w:type="dxa"/>
            <w:vAlign w:val="center"/>
          </w:tcPr>
          <w:p w:rsidR="00656AF3" w:rsidRDefault="00656AF3" w:rsidP="00795A66">
            <w:pPr>
              <w:spacing w:beforeAutospacing="1" w:afterAutospacing="1"/>
            </w:pPr>
            <w:r>
              <w:rPr>
                <w:color w:val="000000"/>
                <w:sz w:val="22"/>
              </w:rPr>
              <w:t xml:space="preserve">   </w:t>
            </w:r>
            <w:r w:rsidR="00795A66">
              <w:rPr>
                <w:color w:val="000000"/>
                <w:sz w:val="22"/>
              </w:rPr>
              <w:t>33</w:t>
            </w:r>
            <w:r>
              <w:rPr>
                <w:color w:val="000000"/>
                <w:sz w:val="22"/>
              </w:rPr>
              <w:t>.</w:t>
            </w:r>
            <w:r w:rsidR="00795A66">
              <w:rPr>
                <w:color w:val="000000"/>
                <w:sz w:val="22"/>
              </w:rPr>
              <w:t>33</w:t>
            </w:r>
            <w:r>
              <w:rPr>
                <w:color w:val="000000"/>
                <w:sz w:val="22"/>
              </w:rPr>
              <w:t>%</w:t>
            </w:r>
          </w:p>
        </w:tc>
        <w:tc>
          <w:tcPr>
            <w:tcW w:w="975" w:type="dxa"/>
            <w:vAlign w:val="center"/>
          </w:tcPr>
          <w:p w:rsidR="00656AF3" w:rsidRDefault="00B4265E" w:rsidP="000D7181">
            <w:pPr>
              <w:spacing w:beforeAutospacing="1" w:afterAutospacing="1"/>
            </w:pPr>
            <w:r>
              <w:rPr>
                <w:color w:val="000000"/>
                <w:sz w:val="22"/>
              </w:rPr>
              <w:t>3</w:t>
            </w:r>
          </w:p>
        </w:tc>
        <w:tc>
          <w:tcPr>
            <w:tcW w:w="929" w:type="dxa"/>
            <w:vAlign w:val="center"/>
          </w:tcPr>
          <w:p w:rsidR="00656AF3" w:rsidRDefault="00795A66" w:rsidP="000D7181">
            <w:pPr>
              <w:spacing w:beforeAutospacing="1" w:afterAutospacing="1"/>
            </w:pPr>
            <w:r>
              <w:rPr>
                <w:color w:val="000000"/>
                <w:sz w:val="22"/>
              </w:rPr>
              <w:t>3</w:t>
            </w:r>
          </w:p>
        </w:tc>
        <w:tc>
          <w:tcPr>
            <w:tcW w:w="1034" w:type="dxa"/>
            <w:vAlign w:val="center"/>
          </w:tcPr>
          <w:p w:rsidR="00656AF3" w:rsidRDefault="00B4265E" w:rsidP="000D7181">
            <w:pPr>
              <w:spacing w:beforeAutospacing="1" w:afterAutospacing="1"/>
            </w:pPr>
            <w:r>
              <w:rPr>
                <w:color w:val="000000"/>
                <w:sz w:val="22"/>
              </w:rPr>
              <w:t>1</w:t>
            </w:r>
            <w:r w:rsidR="00656AF3">
              <w:rPr>
                <w:color w:val="000000"/>
                <w:sz w:val="22"/>
              </w:rPr>
              <w:t>00.00%</w:t>
            </w:r>
          </w:p>
        </w:tc>
      </w:tr>
      <w:tr w:rsidR="00656AF3" w:rsidTr="00045711">
        <w:trPr>
          <w:cantSplit/>
        </w:trPr>
        <w:tc>
          <w:tcPr>
            <w:tcW w:w="1658" w:type="dxa"/>
            <w:shd w:val="clear" w:color="auto" w:fill="BFBFBF" w:themeFill="background1" w:themeFillShade="BF"/>
            <w:vAlign w:val="center"/>
          </w:tcPr>
          <w:p w:rsidR="00656AF3" w:rsidRDefault="00656AF3" w:rsidP="000D7181">
            <w:pPr>
              <w:spacing w:beforeAutospacing="1" w:afterAutospacing="1"/>
            </w:pPr>
            <w:r>
              <w:rPr>
                <w:color w:val="000000"/>
                <w:sz w:val="22"/>
              </w:rPr>
              <w:t>Owner Occupied Rehabilitation</w:t>
            </w:r>
          </w:p>
        </w:tc>
        <w:tc>
          <w:tcPr>
            <w:tcW w:w="1530" w:type="dxa"/>
            <w:vAlign w:val="center"/>
          </w:tcPr>
          <w:p w:rsidR="00656AF3" w:rsidRDefault="00656AF3" w:rsidP="000D7181">
            <w:pPr>
              <w:spacing w:beforeAutospacing="1" w:afterAutospacing="1"/>
            </w:pPr>
            <w:r>
              <w:rPr>
                <w:color w:val="000000"/>
                <w:sz w:val="22"/>
              </w:rPr>
              <w:t>Affordable Housing</w:t>
            </w:r>
          </w:p>
        </w:tc>
        <w:tc>
          <w:tcPr>
            <w:tcW w:w="880" w:type="dxa"/>
            <w:vAlign w:val="center"/>
          </w:tcPr>
          <w:p w:rsidR="00656AF3" w:rsidRDefault="00656AF3" w:rsidP="000D7181">
            <w:pPr>
              <w:spacing w:beforeAutospacing="1" w:afterAutospacing="1"/>
            </w:pPr>
            <w:r>
              <w:rPr>
                <w:color w:val="000000"/>
                <w:sz w:val="22"/>
              </w:rPr>
              <w:t>CDBG &amp; HOME</w:t>
            </w:r>
          </w:p>
        </w:tc>
        <w:tc>
          <w:tcPr>
            <w:tcW w:w="2520" w:type="dxa"/>
            <w:vAlign w:val="center"/>
          </w:tcPr>
          <w:p w:rsidR="00656AF3" w:rsidRDefault="00656AF3" w:rsidP="000D7181">
            <w:pPr>
              <w:spacing w:beforeAutospacing="1" w:afterAutospacing="1"/>
            </w:pPr>
            <w:r>
              <w:rPr>
                <w:color w:val="000000"/>
                <w:sz w:val="22"/>
              </w:rPr>
              <w:t>Homeowner Housing Rehabilitated</w:t>
            </w:r>
          </w:p>
        </w:tc>
        <w:tc>
          <w:tcPr>
            <w:tcW w:w="1260" w:type="dxa"/>
            <w:vAlign w:val="center"/>
          </w:tcPr>
          <w:p w:rsidR="00656AF3" w:rsidRDefault="00656AF3" w:rsidP="000D7181">
            <w:pPr>
              <w:spacing w:beforeAutospacing="1" w:afterAutospacing="1"/>
            </w:pPr>
            <w:r>
              <w:rPr>
                <w:color w:val="000000"/>
                <w:sz w:val="22"/>
              </w:rPr>
              <w:t>Household Housing Unit</w:t>
            </w:r>
          </w:p>
        </w:tc>
        <w:tc>
          <w:tcPr>
            <w:tcW w:w="990" w:type="dxa"/>
            <w:vAlign w:val="center"/>
          </w:tcPr>
          <w:p w:rsidR="00656AF3" w:rsidRDefault="00656AF3" w:rsidP="000D7181">
            <w:pPr>
              <w:spacing w:beforeAutospacing="1" w:afterAutospacing="1"/>
            </w:pPr>
            <w:r>
              <w:rPr>
                <w:color w:val="000000"/>
                <w:sz w:val="22"/>
              </w:rPr>
              <w:t>55</w:t>
            </w:r>
          </w:p>
        </w:tc>
        <w:tc>
          <w:tcPr>
            <w:tcW w:w="921" w:type="dxa"/>
            <w:vAlign w:val="center"/>
          </w:tcPr>
          <w:p w:rsidR="00656AF3" w:rsidRDefault="00795A66" w:rsidP="000D7181">
            <w:pPr>
              <w:spacing w:beforeAutospacing="1" w:afterAutospacing="1"/>
            </w:pPr>
            <w:r>
              <w:rPr>
                <w:color w:val="000000"/>
                <w:sz w:val="22"/>
              </w:rPr>
              <w:t>9</w:t>
            </w:r>
          </w:p>
        </w:tc>
        <w:tc>
          <w:tcPr>
            <w:tcW w:w="1031" w:type="dxa"/>
            <w:vAlign w:val="center"/>
          </w:tcPr>
          <w:p w:rsidR="00656AF3" w:rsidRDefault="00656AF3" w:rsidP="00795A66">
            <w:pPr>
              <w:spacing w:beforeAutospacing="1" w:afterAutospacing="1"/>
            </w:pPr>
            <w:r>
              <w:rPr>
                <w:color w:val="000000"/>
                <w:sz w:val="22"/>
              </w:rPr>
              <w:t xml:space="preserve">  </w:t>
            </w:r>
            <w:r w:rsidR="00795A66">
              <w:rPr>
                <w:color w:val="000000"/>
                <w:sz w:val="22"/>
              </w:rPr>
              <w:t>16</w:t>
            </w:r>
            <w:r>
              <w:rPr>
                <w:color w:val="000000"/>
                <w:sz w:val="22"/>
              </w:rPr>
              <w:t>.</w:t>
            </w:r>
            <w:r w:rsidR="00795A66">
              <w:rPr>
                <w:color w:val="000000"/>
                <w:sz w:val="22"/>
              </w:rPr>
              <w:t>36</w:t>
            </w:r>
            <w:r>
              <w:rPr>
                <w:color w:val="000000"/>
                <w:sz w:val="22"/>
              </w:rPr>
              <w:t>%</w:t>
            </w:r>
          </w:p>
        </w:tc>
        <w:tc>
          <w:tcPr>
            <w:tcW w:w="975" w:type="dxa"/>
            <w:vAlign w:val="center"/>
          </w:tcPr>
          <w:p w:rsidR="00656AF3" w:rsidRDefault="00656AF3" w:rsidP="000D7181">
            <w:pPr>
              <w:spacing w:beforeAutospacing="1" w:afterAutospacing="1"/>
            </w:pPr>
            <w:r>
              <w:rPr>
                <w:color w:val="000000"/>
                <w:sz w:val="22"/>
              </w:rPr>
              <w:t>8</w:t>
            </w:r>
          </w:p>
        </w:tc>
        <w:tc>
          <w:tcPr>
            <w:tcW w:w="929" w:type="dxa"/>
            <w:vAlign w:val="center"/>
          </w:tcPr>
          <w:p w:rsidR="00656AF3" w:rsidRDefault="00795A66" w:rsidP="000D7181">
            <w:pPr>
              <w:spacing w:beforeAutospacing="1" w:afterAutospacing="1"/>
            </w:pPr>
            <w:r>
              <w:t>2</w:t>
            </w:r>
          </w:p>
        </w:tc>
        <w:tc>
          <w:tcPr>
            <w:tcW w:w="1034" w:type="dxa"/>
            <w:vAlign w:val="center"/>
          </w:tcPr>
          <w:p w:rsidR="00656AF3" w:rsidRDefault="00656AF3" w:rsidP="00795A66">
            <w:pPr>
              <w:spacing w:beforeAutospacing="1" w:afterAutospacing="1"/>
            </w:pPr>
            <w:r>
              <w:rPr>
                <w:color w:val="000000"/>
                <w:sz w:val="22"/>
              </w:rPr>
              <w:t xml:space="preserve">  </w:t>
            </w:r>
            <w:r w:rsidR="00795A66">
              <w:rPr>
                <w:color w:val="000000"/>
                <w:sz w:val="22"/>
              </w:rPr>
              <w:t>25</w:t>
            </w:r>
            <w:r>
              <w:rPr>
                <w:color w:val="000000"/>
                <w:sz w:val="22"/>
              </w:rPr>
              <w:t>.</w:t>
            </w:r>
            <w:r w:rsidR="00795A66">
              <w:rPr>
                <w:color w:val="000000"/>
                <w:sz w:val="22"/>
              </w:rPr>
              <w:t>0</w:t>
            </w:r>
            <w:r>
              <w:rPr>
                <w:color w:val="000000"/>
                <w:sz w:val="22"/>
              </w:rPr>
              <w:t>0%</w:t>
            </w:r>
          </w:p>
        </w:tc>
      </w:tr>
      <w:tr w:rsidR="00656AF3" w:rsidTr="00045711">
        <w:trPr>
          <w:cantSplit/>
        </w:trPr>
        <w:tc>
          <w:tcPr>
            <w:tcW w:w="1658" w:type="dxa"/>
            <w:shd w:val="clear" w:color="auto" w:fill="BFBFBF" w:themeFill="background1" w:themeFillShade="BF"/>
            <w:vAlign w:val="center"/>
          </w:tcPr>
          <w:p w:rsidR="00656AF3" w:rsidRDefault="00656AF3" w:rsidP="000D7181">
            <w:pPr>
              <w:spacing w:beforeAutospacing="1" w:afterAutospacing="1"/>
            </w:pPr>
            <w:r>
              <w:rPr>
                <w:color w:val="000000"/>
                <w:sz w:val="22"/>
              </w:rPr>
              <w:t>Removal of dilapidated structures</w:t>
            </w:r>
          </w:p>
        </w:tc>
        <w:tc>
          <w:tcPr>
            <w:tcW w:w="1530" w:type="dxa"/>
            <w:vAlign w:val="center"/>
          </w:tcPr>
          <w:p w:rsidR="00656AF3" w:rsidRDefault="00656AF3" w:rsidP="000D7181">
            <w:pPr>
              <w:spacing w:beforeAutospacing="1" w:afterAutospacing="1"/>
            </w:pPr>
            <w:r>
              <w:rPr>
                <w:color w:val="000000"/>
                <w:sz w:val="22"/>
              </w:rPr>
              <w:t>Affordable Housing</w:t>
            </w:r>
            <w:r>
              <w:rPr>
                <w:color w:val="000000"/>
                <w:sz w:val="22"/>
              </w:rPr>
              <w:br/>
              <w:t>Non-Housing Community Development</w:t>
            </w:r>
          </w:p>
        </w:tc>
        <w:tc>
          <w:tcPr>
            <w:tcW w:w="880" w:type="dxa"/>
            <w:vAlign w:val="center"/>
          </w:tcPr>
          <w:p w:rsidR="00656AF3" w:rsidRDefault="00656AF3" w:rsidP="000D7181">
            <w:pPr>
              <w:spacing w:beforeAutospacing="1" w:afterAutospacing="1"/>
            </w:pPr>
            <w:r>
              <w:rPr>
                <w:color w:val="000000"/>
                <w:sz w:val="22"/>
              </w:rPr>
              <w:t>CDBG</w:t>
            </w:r>
          </w:p>
        </w:tc>
        <w:tc>
          <w:tcPr>
            <w:tcW w:w="2520" w:type="dxa"/>
            <w:vAlign w:val="center"/>
          </w:tcPr>
          <w:p w:rsidR="00656AF3" w:rsidRDefault="00656AF3" w:rsidP="000D7181">
            <w:pPr>
              <w:spacing w:beforeAutospacing="1" w:afterAutospacing="1"/>
            </w:pPr>
            <w:r>
              <w:rPr>
                <w:color w:val="000000"/>
                <w:sz w:val="22"/>
              </w:rPr>
              <w:t>Buildings Demolished</w:t>
            </w:r>
          </w:p>
        </w:tc>
        <w:tc>
          <w:tcPr>
            <w:tcW w:w="1260" w:type="dxa"/>
            <w:vAlign w:val="center"/>
          </w:tcPr>
          <w:p w:rsidR="00656AF3" w:rsidRDefault="00656AF3" w:rsidP="000D7181">
            <w:pPr>
              <w:spacing w:beforeAutospacing="1" w:afterAutospacing="1"/>
            </w:pPr>
            <w:r>
              <w:rPr>
                <w:color w:val="000000"/>
                <w:sz w:val="22"/>
              </w:rPr>
              <w:t>Buildings</w:t>
            </w:r>
          </w:p>
        </w:tc>
        <w:tc>
          <w:tcPr>
            <w:tcW w:w="990" w:type="dxa"/>
            <w:vAlign w:val="center"/>
          </w:tcPr>
          <w:p w:rsidR="00656AF3" w:rsidRDefault="00656AF3" w:rsidP="000D7181">
            <w:pPr>
              <w:spacing w:beforeAutospacing="1" w:afterAutospacing="1"/>
            </w:pPr>
            <w:r>
              <w:rPr>
                <w:color w:val="000000"/>
                <w:sz w:val="22"/>
              </w:rPr>
              <w:t>15</w:t>
            </w:r>
          </w:p>
        </w:tc>
        <w:tc>
          <w:tcPr>
            <w:tcW w:w="921" w:type="dxa"/>
            <w:vAlign w:val="center"/>
          </w:tcPr>
          <w:p w:rsidR="00656AF3" w:rsidRDefault="00645F1F" w:rsidP="000D7181">
            <w:pPr>
              <w:spacing w:beforeAutospacing="1" w:afterAutospacing="1"/>
            </w:pPr>
            <w:r>
              <w:rPr>
                <w:color w:val="000000"/>
                <w:sz w:val="22"/>
              </w:rPr>
              <w:t>5</w:t>
            </w:r>
          </w:p>
        </w:tc>
        <w:tc>
          <w:tcPr>
            <w:tcW w:w="1031" w:type="dxa"/>
            <w:vAlign w:val="center"/>
          </w:tcPr>
          <w:p w:rsidR="00656AF3" w:rsidRDefault="00645F1F" w:rsidP="00645F1F">
            <w:pPr>
              <w:spacing w:beforeAutospacing="1" w:afterAutospacing="1"/>
            </w:pPr>
            <w:r>
              <w:rPr>
                <w:color w:val="000000"/>
                <w:sz w:val="22"/>
              </w:rPr>
              <w:t>33</w:t>
            </w:r>
            <w:r w:rsidR="00656AF3">
              <w:rPr>
                <w:color w:val="000000"/>
                <w:sz w:val="22"/>
              </w:rPr>
              <w:t>.</w:t>
            </w:r>
            <w:r>
              <w:rPr>
                <w:color w:val="000000"/>
                <w:sz w:val="22"/>
              </w:rPr>
              <w:t>33</w:t>
            </w:r>
            <w:r w:rsidR="00656AF3">
              <w:rPr>
                <w:color w:val="000000"/>
                <w:sz w:val="22"/>
              </w:rPr>
              <w:t>%</w:t>
            </w:r>
          </w:p>
        </w:tc>
        <w:tc>
          <w:tcPr>
            <w:tcW w:w="975" w:type="dxa"/>
            <w:vAlign w:val="center"/>
          </w:tcPr>
          <w:p w:rsidR="00656AF3" w:rsidRDefault="00656AF3" w:rsidP="000D7181">
            <w:pPr>
              <w:spacing w:beforeAutospacing="1" w:afterAutospacing="1"/>
            </w:pPr>
            <w:r>
              <w:rPr>
                <w:color w:val="000000"/>
                <w:sz w:val="22"/>
              </w:rPr>
              <w:t>2</w:t>
            </w:r>
          </w:p>
        </w:tc>
        <w:tc>
          <w:tcPr>
            <w:tcW w:w="929" w:type="dxa"/>
            <w:vAlign w:val="center"/>
          </w:tcPr>
          <w:p w:rsidR="00656AF3" w:rsidRDefault="00645F1F" w:rsidP="000D7181">
            <w:pPr>
              <w:spacing w:beforeAutospacing="1" w:afterAutospacing="1"/>
            </w:pPr>
            <w:r>
              <w:rPr>
                <w:color w:val="000000"/>
                <w:sz w:val="22"/>
              </w:rPr>
              <w:t>2</w:t>
            </w:r>
          </w:p>
        </w:tc>
        <w:tc>
          <w:tcPr>
            <w:tcW w:w="1034" w:type="dxa"/>
            <w:vAlign w:val="center"/>
          </w:tcPr>
          <w:p w:rsidR="00656AF3" w:rsidRDefault="00645F1F" w:rsidP="000D7181">
            <w:pPr>
              <w:spacing w:beforeAutospacing="1" w:afterAutospacing="1"/>
            </w:pPr>
            <w:r>
              <w:rPr>
                <w:color w:val="000000"/>
                <w:sz w:val="22"/>
              </w:rPr>
              <w:t>10</w:t>
            </w:r>
            <w:r w:rsidR="00656AF3">
              <w:rPr>
                <w:color w:val="000000"/>
                <w:sz w:val="22"/>
              </w:rPr>
              <w:t>0.00%</w:t>
            </w:r>
          </w:p>
        </w:tc>
      </w:tr>
      <w:tr w:rsidR="00656AF3" w:rsidTr="00045711">
        <w:trPr>
          <w:cantSplit/>
        </w:trPr>
        <w:tc>
          <w:tcPr>
            <w:tcW w:w="1658" w:type="dxa"/>
            <w:shd w:val="clear" w:color="auto" w:fill="BFBFBF" w:themeFill="background1" w:themeFillShade="BF"/>
            <w:vAlign w:val="center"/>
          </w:tcPr>
          <w:p w:rsidR="00656AF3" w:rsidRDefault="00656AF3" w:rsidP="000D7181">
            <w:pPr>
              <w:spacing w:beforeAutospacing="1" w:afterAutospacing="1"/>
            </w:pPr>
            <w:r>
              <w:rPr>
                <w:color w:val="000000"/>
                <w:sz w:val="22"/>
              </w:rPr>
              <w:t>Rental production</w:t>
            </w:r>
          </w:p>
        </w:tc>
        <w:tc>
          <w:tcPr>
            <w:tcW w:w="1530" w:type="dxa"/>
            <w:vAlign w:val="center"/>
          </w:tcPr>
          <w:p w:rsidR="00656AF3" w:rsidRDefault="00656AF3" w:rsidP="000D7181">
            <w:pPr>
              <w:spacing w:beforeAutospacing="1" w:afterAutospacing="1"/>
            </w:pPr>
            <w:r>
              <w:rPr>
                <w:color w:val="000000"/>
                <w:sz w:val="22"/>
              </w:rPr>
              <w:t>Affordable Housing</w:t>
            </w:r>
          </w:p>
        </w:tc>
        <w:tc>
          <w:tcPr>
            <w:tcW w:w="880" w:type="dxa"/>
            <w:vAlign w:val="center"/>
          </w:tcPr>
          <w:p w:rsidR="00656AF3" w:rsidRDefault="00656AF3" w:rsidP="000D7181">
            <w:pPr>
              <w:spacing w:beforeAutospacing="1" w:afterAutospacing="1"/>
            </w:pPr>
            <w:r>
              <w:rPr>
                <w:color w:val="000000"/>
                <w:sz w:val="22"/>
              </w:rPr>
              <w:t>HOME</w:t>
            </w:r>
          </w:p>
        </w:tc>
        <w:tc>
          <w:tcPr>
            <w:tcW w:w="2520" w:type="dxa"/>
            <w:vAlign w:val="center"/>
          </w:tcPr>
          <w:p w:rsidR="00656AF3" w:rsidRDefault="00656AF3" w:rsidP="000D7181">
            <w:pPr>
              <w:spacing w:beforeAutospacing="1" w:afterAutospacing="1"/>
            </w:pPr>
            <w:r>
              <w:rPr>
                <w:color w:val="000000"/>
                <w:sz w:val="22"/>
              </w:rPr>
              <w:t>Rental units constructed</w:t>
            </w:r>
          </w:p>
        </w:tc>
        <w:tc>
          <w:tcPr>
            <w:tcW w:w="1260" w:type="dxa"/>
            <w:vAlign w:val="center"/>
          </w:tcPr>
          <w:p w:rsidR="00656AF3" w:rsidRDefault="00656AF3" w:rsidP="000D7181">
            <w:pPr>
              <w:spacing w:beforeAutospacing="1" w:afterAutospacing="1"/>
            </w:pPr>
            <w:r>
              <w:rPr>
                <w:color w:val="000000"/>
                <w:sz w:val="22"/>
              </w:rPr>
              <w:t>Household Housing Unit</w:t>
            </w:r>
          </w:p>
        </w:tc>
        <w:tc>
          <w:tcPr>
            <w:tcW w:w="990" w:type="dxa"/>
            <w:vAlign w:val="center"/>
          </w:tcPr>
          <w:p w:rsidR="00656AF3" w:rsidRDefault="00656AF3" w:rsidP="000D7181">
            <w:pPr>
              <w:spacing w:beforeAutospacing="1" w:afterAutospacing="1"/>
            </w:pPr>
            <w:r>
              <w:rPr>
                <w:color w:val="000000"/>
                <w:sz w:val="22"/>
              </w:rPr>
              <w:t>4</w:t>
            </w:r>
          </w:p>
        </w:tc>
        <w:tc>
          <w:tcPr>
            <w:tcW w:w="921" w:type="dxa"/>
            <w:vAlign w:val="center"/>
          </w:tcPr>
          <w:p w:rsidR="00656AF3" w:rsidRDefault="00645F1F" w:rsidP="000D7181">
            <w:pPr>
              <w:spacing w:beforeAutospacing="1" w:afterAutospacing="1"/>
            </w:pPr>
            <w:r>
              <w:rPr>
                <w:color w:val="000000"/>
                <w:sz w:val="22"/>
              </w:rPr>
              <w:t>2</w:t>
            </w:r>
          </w:p>
        </w:tc>
        <w:tc>
          <w:tcPr>
            <w:tcW w:w="1031" w:type="dxa"/>
            <w:vAlign w:val="center"/>
          </w:tcPr>
          <w:p w:rsidR="00656AF3" w:rsidRDefault="00656AF3" w:rsidP="000D7181">
            <w:pPr>
              <w:spacing w:beforeAutospacing="1" w:afterAutospacing="1"/>
            </w:pPr>
            <w:r>
              <w:rPr>
                <w:color w:val="000000"/>
                <w:sz w:val="22"/>
              </w:rPr>
              <w:t xml:space="preserve"> </w:t>
            </w:r>
            <w:r w:rsidR="00645F1F">
              <w:rPr>
                <w:color w:val="000000"/>
                <w:sz w:val="22"/>
              </w:rPr>
              <w:t>5</w:t>
            </w:r>
            <w:r>
              <w:rPr>
                <w:color w:val="000000"/>
                <w:sz w:val="22"/>
              </w:rPr>
              <w:t>0.00%</w:t>
            </w:r>
          </w:p>
        </w:tc>
        <w:tc>
          <w:tcPr>
            <w:tcW w:w="975" w:type="dxa"/>
            <w:vAlign w:val="center"/>
          </w:tcPr>
          <w:p w:rsidR="00656AF3" w:rsidRDefault="00656AF3" w:rsidP="000D7181">
            <w:pPr>
              <w:spacing w:beforeAutospacing="1" w:afterAutospacing="1"/>
            </w:pPr>
            <w:r>
              <w:rPr>
                <w:color w:val="000000"/>
                <w:sz w:val="22"/>
              </w:rPr>
              <w:t>4</w:t>
            </w:r>
          </w:p>
        </w:tc>
        <w:tc>
          <w:tcPr>
            <w:tcW w:w="929" w:type="dxa"/>
            <w:vAlign w:val="center"/>
          </w:tcPr>
          <w:p w:rsidR="00656AF3" w:rsidRDefault="00645F1F" w:rsidP="000D7181">
            <w:pPr>
              <w:spacing w:beforeAutospacing="1" w:afterAutospacing="1"/>
            </w:pPr>
            <w:r>
              <w:rPr>
                <w:color w:val="000000"/>
                <w:sz w:val="22"/>
              </w:rPr>
              <w:t>2</w:t>
            </w:r>
          </w:p>
        </w:tc>
        <w:tc>
          <w:tcPr>
            <w:tcW w:w="1034" w:type="dxa"/>
            <w:vAlign w:val="center"/>
          </w:tcPr>
          <w:p w:rsidR="00656AF3" w:rsidRDefault="00656AF3" w:rsidP="000D7181">
            <w:pPr>
              <w:spacing w:beforeAutospacing="1" w:afterAutospacing="1"/>
            </w:pPr>
            <w:r>
              <w:rPr>
                <w:color w:val="000000"/>
                <w:sz w:val="22"/>
              </w:rPr>
              <w:t xml:space="preserve">  </w:t>
            </w:r>
            <w:r w:rsidR="00645F1F">
              <w:rPr>
                <w:color w:val="000000"/>
                <w:sz w:val="22"/>
              </w:rPr>
              <w:t>5</w:t>
            </w:r>
            <w:r>
              <w:rPr>
                <w:color w:val="000000"/>
                <w:sz w:val="22"/>
              </w:rPr>
              <w:t>0.00%</w:t>
            </w:r>
          </w:p>
        </w:tc>
      </w:tr>
      <w:tr w:rsidR="00656AF3" w:rsidTr="00045711">
        <w:trPr>
          <w:cantSplit/>
        </w:trPr>
        <w:tc>
          <w:tcPr>
            <w:tcW w:w="1658" w:type="dxa"/>
            <w:shd w:val="clear" w:color="auto" w:fill="BFBFBF" w:themeFill="background1" w:themeFillShade="BF"/>
            <w:vAlign w:val="center"/>
          </w:tcPr>
          <w:p w:rsidR="00656AF3" w:rsidRDefault="00656AF3" w:rsidP="000D7181">
            <w:pPr>
              <w:spacing w:beforeAutospacing="1" w:afterAutospacing="1"/>
            </w:pPr>
            <w:r>
              <w:rPr>
                <w:color w:val="000000"/>
                <w:sz w:val="22"/>
              </w:rPr>
              <w:t>Rental production</w:t>
            </w:r>
          </w:p>
        </w:tc>
        <w:tc>
          <w:tcPr>
            <w:tcW w:w="1530" w:type="dxa"/>
            <w:vAlign w:val="center"/>
          </w:tcPr>
          <w:p w:rsidR="00656AF3" w:rsidRDefault="00656AF3" w:rsidP="000D7181">
            <w:pPr>
              <w:spacing w:beforeAutospacing="1" w:afterAutospacing="1"/>
            </w:pPr>
            <w:r>
              <w:rPr>
                <w:color w:val="000000"/>
                <w:sz w:val="22"/>
              </w:rPr>
              <w:t>Affordable Housing</w:t>
            </w:r>
          </w:p>
        </w:tc>
        <w:tc>
          <w:tcPr>
            <w:tcW w:w="880" w:type="dxa"/>
            <w:vAlign w:val="center"/>
          </w:tcPr>
          <w:p w:rsidR="00656AF3" w:rsidRDefault="00656AF3" w:rsidP="000D7181">
            <w:pPr>
              <w:spacing w:beforeAutospacing="1" w:afterAutospacing="1"/>
            </w:pPr>
            <w:r>
              <w:rPr>
                <w:color w:val="000000"/>
                <w:sz w:val="22"/>
              </w:rPr>
              <w:t>HOME</w:t>
            </w:r>
          </w:p>
        </w:tc>
        <w:tc>
          <w:tcPr>
            <w:tcW w:w="2520" w:type="dxa"/>
            <w:vAlign w:val="center"/>
          </w:tcPr>
          <w:p w:rsidR="00656AF3" w:rsidRDefault="00656AF3" w:rsidP="000D7181">
            <w:pPr>
              <w:spacing w:beforeAutospacing="1" w:afterAutospacing="1"/>
            </w:pPr>
            <w:r>
              <w:rPr>
                <w:color w:val="000000"/>
                <w:sz w:val="22"/>
              </w:rPr>
              <w:t>Rental units rehabilitated</w:t>
            </w:r>
          </w:p>
        </w:tc>
        <w:tc>
          <w:tcPr>
            <w:tcW w:w="1260" w:type="dxa"/>
            <w:vAlign w:val="center"/>
          </w:tcPr>
          <w:p w:rsidR="00656AF3" w:rsidRDefault="00656AF3" w:rsidP="000D7181">
            <w:pPr>
              <w:spacing w:beforeAutospacing="1" w:afterAutospacing="1"/>
            </w:pPr>
            <w:r>
              <w:rPr>
                <w:color w:val="000000"/>
                <w:sz w:val="22"/>
              </w:rPr>
              <w:t>Household Housing Unit</w:t>
            </w:r>
          </w:p>
        </w:tc>
        <w:tc>
          <w:tcPr>
            <w:tcW w:w="990" w:type="dxa"/>
            <w:vAlign w:val="center"/>
          </w:tcPr>
          <w:p w:rsidR="00656AF3" w:rsidRDefault="00656AF3" w:rsidP="000D7181">
            <w:pPr>
              <w:spacing w:beforeAutospacing="1" w:afterAutospacing="1"/>
            </w:pPr>
            <w:r>
              <w:rPr>
                <w:color w:val="000000"/>
                <w:sz w:val="22"/>
              </w:rPr>
              <w:t>6</w:t>
            </w:r>
          </w:p>
        </w:tc>
        <w:tc>
          <w:tcPr>
            <w:tcW w:w="921" w:type="dxa"/>
            <w:vAlign w:val="center"/>
          </w:tcPr>
          <w:p w:rsidR="00656AF3" w:rsidRDefault="00656AF3" w:rsidP="000D7181">
            <w:pPr>
              <w:spacing w:beforeAutospacing="1" w:afterAutospacing="1"/>
            </w:pPr>
            <w:r>
              <w:rPr>
                <w:color w:val="000000"/>
                <w:sz w:val="22"/>
              </w:rPr>
              <w:t>0</w:t>
            </w:r>
          </w:p>
        </w:tc>
        <w:tc>
          <w:tcPr>
            <w:tcW w:w="1031" w:type="dxa"/>
            <w:vAlign w:val="center"/>
          </w:tcPr>
          <w:p w:rsidR="00656AF3" w:rsidRDefault="00656AF3" w:rsidP="000D7181">
            <w:pPr>
              <w:spacing w:beforeAutospacing="1" w:afterAutospacing="1"/>
            </w:pPr>
            <w:r>
              <w:rPr>
                <w:color w:val="000000"/>
                <w:sz w:val="22"/>
              </w:rPr>
              <w:t xml:space="preserve">    0.00%</w:t>
            </w:r>
          </w:p>
        </w:tc>
        <w:tc>
          <w:tcPr>
            <w:tcW w:w="975" w:type="dxa"/>
            <w:vAlign w:val="center"/>
          </w:tcPr>
          <w:p w:rsidR="00656AF3" w:rsidRDefault="00656AF3" w:rsidP="000D7181">
            <w:pPr>
              <w:spacing w:beforeAutospacing="1" w:afterAutospacing="1"/>
            </w:pPr>
            <w:r>
              <w:rPr>
                <w:color w:val="000000"/>
                <w:sz w:val="22"/>
              </w:rPr>
              <w:t>4</w:t>
            </w:r>
          </w:p>
        </w:tc>
        <w:tc>
          <w:tcPr>
            <w:tcW w:w="929" w:type="dxa"/>
            <w:vAlign w:val="center"/>
          </w:tcPr>
          <w:p w:rsidR="00656AF3" w:rsidRDefault="00656AF3" w:rsidP="000D7181">
            <w:pPr>
              <w:spacing w:beforeAutospacing="1" w:afterAutospacing="1"/>
            </w:pPr>
            <w:r>
              <w:rPr>
                <w:color w:val="000000"/>
                <w:sz w:val="22"/>
              </w:rPr>
              <w:t>0</w:t>
            </w:r>
          </w:p>
        </w:tc>
        <w:tc>
          <w:tcPr>
            <w:tcW w:w="1034" w:type="dxa"/>
            <w:vAlign w:val="center"/>
          </w:tcPr>
          <w:p w:rsidR="00656AF3" w:rsidRDefault="00656AF3" w:rsidP="000D7181">
            <w:pPr>
              <w:spacing w:beforeAutospacing="1" w:afterAutospacing="1"/>
            </w:pPr>
            <w:r>
              <w:rPr>
                <w:color w:val="000000"/>
                <w:sz w:val="22"/>
              </w:rPr>
              <w:t xml:space="preserve">    0.00%</w:t>
            </w:r>
          </w:p>
        </w:tc>
      </w:tr>
      <w:tr w:rsidR="00656AF3" w:rsidTr="00045711">
        <w:trPr>
          <w:cantSplit/>
        </w:trPr>
        <w:tc>
          <w:tcPr>
            <w:tcW w:w="1658" w:type="dxa"/>
            <w:shd w:val="clear" w:color="auto" w:fill="BFBFBF" w:themeFill="background1" w:themeFillShade="BF"/>
            <w:vAlign w:val="center"/>
          </w:tcPr>
          <w:p w:rsidR="00656AF3" w:rsidRDefault="00656AF3" w:rsidP="000D7181">
            <w:pPr>
              <w:spacing w:beforeAutospacing="1" w:afterAutospacing="1"/>
            </w:pPr>
            <w:r>
              <w:rPr>
                <w:color w:val="000000"/>
                <w:sz w:val="22"/>
              </w:rPr>
              <w:t>Repair of exising housing</w:t>
            </w:r>
          </w:p>
        </w:tc>
        <w:tc>
          <w:tcPr>
            <w:tcW w:w="1530" w:type="dxa"/>
            <w:vAlign w:val="center"/>
          </w:tcPr>
          <w:p w:rsidR="00656AF3" w:rsidRDefault="00656AF3" w:rsidP="000D7181">
            <w:pPr>
              <w:spacing w:beforeAutospacing="1" w:afterAutospacing="1"/>
            </w:pPr>
            <w:r>
              <w:rPr>
                <w:color w:val="000000"/>
                <w:sz w:val="22"/>
              </w:rPr>
              <w:t>Affordable Housing</w:t>
            </w:r>
          </w:p>
        </w:tc>
        <w:tc>
          <w:tcPr>
            <w:tcW w:w="880" w:type="dxa"/>
            <w:vAlign w:val="center"/>
          </w:tcPr>
          <w:p w:rsidR="00656AF3" w:rsidRDefault="00656AF3" w:rsidP="000D7181">
            <w:pPr>
              <w:spacing w:beforeAutospacing="1" w:afterAutospacing="1"/>
            </w:pPr>
            <w:r>
              <w:rPr>
                <w:color w:val="000000"/>
                <w:sz w:val="22"/>
              </w:rPr>
              <w:t>CDBG</w:t>
            </w:r>
          </w:p>
        </w:tc>
        <w:tc>
          <w:tcPr>
            <w:tcW w:w="2520" w:type="dxa"/>
            <w:vAlign w:val="center"/>
          </w:tcPr>
          <w:p w:rsidR="00656AF3" w:rsidRDefault="00656AF3" w:rsidP="000D7181">
            <w:pPr>
              <w:spacing w:beforeAutospacing="1" w:afterAutospacing="1"/>
            </w:pPr>
            <w:r>
              <w:rPr>
                <w:color w:val="000000"/>
                <w:sz w:val="22"/>
              </w:rPr>
              <w:t>Homeowner Housing Rehabilitated</w:t>
            </w:r>
          </w:p>
        </w:tc>
        <w:tc>
          <w:tcPr>
            <w:tcW w:w="1260" w:type="dxa"/>
            <w:vAlign w:val="center"/>
          </w:tcPr>
          <w:p w:rsidR="00656AF3" w:rsidRDefault="00656AF3" w:rsidP="000D7181">
            <w:pPr>
              <w:spacing w:beforeAutospacing="1" w:afterAutospacing="1"/>
            </w:pPr>
            <w:r>
              <w:rPr>
                <w:color w:val="000000"/>
                <w:sz w:val="22"/>
              </w:rPr>
              <w:t>Household Housing Unit</w:t>
            </w:r>
          </w:p>
        </w:tc>
        <w:tc>
          <w:tcPr>
            <w:tcW w:w="990" w:type="dxa"/>
            <w:vAlign w:val="center"/>
          </w:tcPr>
          <w:p w:rsidR="00656AF3" w:rsidRDefault="00656AF3" w:rsidP="000D7181">
            <w:pPr>
              <w:spacing w:beforeAutospacing="1" w:afterAutospacing="1"/>
            </w:pPr>
            <w:r>
              <w:rPr>
                <w:color w:val="000000"/>
                <w:sz w:val="22"/>
              </w:rPr>
              <w:t>200</w:t>
            </w:r>
          </w:p>
        </w:tc>
        <w:tc>
          <w:tcPr>
            <w:tcW w:w="921" w:type="dxa"/>
            <w:vAlign w:val="center"/>
          </w:tcPr>
          <w:p w:rsidR="00656AF3" w:rsidRDefault="00795A66" w:rsidP="000D7181">
            <w:pPr>
              <w:spacing w:beforeAutospacing="1" w:afterAutospacing="1"/>
            </w:pPr>
            <w:r>
              <w:rPr>
                <w:color w:val="000000"/>
                <w:sz w:val="22"/>
              </w:rPr>
              <w:t>68</w:t>
            </w:r>
          </w:p>
        </w:tc>
        <w:tc>
          <w:tcPr>
            <w:tcW w:w="1031" w:type="dxa"/>
            <w:vAlign w:val="center"/>
          </w:tcPr>
          <w:p w:rsidR="00656AF3" w:rsidRDefault="00656AF3" w:rsidP="00795A66">
            <w:pPr>
              <w:spacing w:beforeAutospacing="1" w:afterAutospacing="1"/>
            </w:pPr>
            <w:r>
              <w:rPr>
                <w:color w:val="000000"/>
                <w:sz w:val="22"/>
              </w:rPr>
              <w:t xml:space="preserve"> </w:t>
            </w:r>
            <w:r w:rsidR="00795A66">
              <w:rPr>
                <w:color w:val="000000"/>
                <w:sz w:val="22"/>
              </w:rPr>
              <w:t>34</w:t>
            </w:r>
            <w:r>
              <w:rPr>
                <w:color w:val="000000"/>
                <w:sz w:val="22"/>
              </w:rPr>
              <w:t>.</w:t>
            </w:r>
            <w:r w:rsidR="00795A66">
              <w:rPr>
                <w:color w:val="000000"/>
                <w:sz w:val="22"/>
              </w:rPr>
              <w:t>0</w:t>
            </w:r>
            <w:r>
              <w:rPr>
                <w:color w:val="000000"/>
                <w:sz w:val="22"/>
              </w:rPr>
              <w:t>0%</w:t>
            </w:r>
          </w:p>
        </w:tc>
        <w:tc>
          <w:tcPr>
            <w:tcW w:w="975" w:type="dxa"/>
            <w:vAlign w:val="center"/>
          </w:tcPr>
          <w:p w:rsidR="00656AF3" w:rsidRDefault="00656AF3" w:rsidP="000D7181">
            <w:pPr>
              <w:spacing w:beforeAutospacing="1" w:afterAutospacing="1"/>
            </w:pPr>
            <w:r>
              <w:rPr>
                <w:color w:val="000000"/>
                <w:sz w:val="22"/>
              </w:rPr>
              <w:t>40</w:t>
            </w:r>
          </w:p>
        </w:tc>
        <w:tc>
          <w:tcPr>
            <w:tcW w:w="929" w:type="dxa"/>
            <w:vAlign w:val="center"/>
          </w:tcPr>
          <w:p w:rsidR="00656AF3" w:rsidRDefault="00795A66" w:rsidP="000D7181">
            <w:pPr>
              <w:spacing w:beforeAutospacing="1" w:afterAutospacing="1"/>
            </w:pPr>
            <w:r>
              <w:rPr>
                <w:color w:val="000000"/>
                <w:sz w:val="22"/>
              </w:rPr>
              <w:t>41</w:t>
            </w:r>
          </w:p>
        </w:tc>
        <w:tc>
          <w:tcPr>
            <w:tcW w:w="1034" w:type="dxa"/>
            <w:vAlign w:val="center"/>
          </w:tcPr>
          <w:p w:rsidR="00656AF3" w:rsidRDefault="005C236A" w:rsidP="005C236A">
            <w:pPr>
              <w:spacing w:beforeAutospacing="1" w:afterAutospacing="1"/>
            </w:pPr>
            <w:r>
              <w:rPr>
                <w:color w:val="000000"/>
                <w:sz w:val="22"/>
              </w:rPr>
              <w:t>1</w:t>
            </w:r>
            <w:r w:rsidR="00795A66">
              <w:rPr>
                <w:color w:val="000000"/>
                <w:sz w:val="22"/>
              </w:rPr>
              <w:t>02</w:t>
            </w:r>
            <w:r w:rsidR="00656AF3">
              <w:rPr>
                <w:color w:val="000000"/>
                <w:sz w:val="22"/>
              </w:rPr>
              <w:t>.50%</w:t>
            </w:r>
          </w:p>
        </w:tc>
      </w:tr>
      <w:tr w:rsidR="00656AF3" w:rsidTr="00045711">
        <w:trPr>
          <w:cantSplit/>
        </w:trPr>
        <w:tc>
          <w:tcPr>
            <w:tcW w:w="1658" w:type="dxa"/>
            <w:shd w:val="clear" w:color="auto" w:fill="BFBFBF" w:themeFill="background1" w:themeFillShade="BF"/>
            <w:vAlign w:val="center"/>
          </w:tcPr>
          <w:p w:rsidR="00656AF3" w:rsidRDefault="00656AF3" w:rsidP="000D7181">
            <w:pPr>
              <w:spacing w:beforeAutospacing="1" w:afterAutospacing="1"/>
            </w:pPr>
            <w:r>
              <w:rPr>
                <w:color w:val="000000"/>
                <w:sz w:val="22"/>
              </w:rPr>
              <w:t>Sidewalk Projects</w:t>
            </w:r>
          </w:p>
        </w:tc>
        <w:tc>
          <w:tcPr>
            <w:tcW w:w="1530" w:type="dxa"/>
            <w:vAlign w:val="center"/>
          </w:tcPr>
          <w:p w:rsidR="00656AF3" w:rsidRDefault="00656AF3" w:rsidP="000D7181">
            <w:pPr>
              <w:spacing w:beforeAutospacing="1" w:afterAutospacing="1"/>
            </w:pPr>
            <w:r>
              <w:rPr>
                <w:color w:val="000000"/>
                <w:sz w:val="22"/>
              </w:rPr>
              <w:t>Non-Housing Community Development</w:t>
            </w:r>
          </w:p>
        </w:tc>
        <w:tc>
          <w:tcPr>
            <w:tcW w:w="880" w:type="dxa"/>
            <w:vAlign w:val="center"/>
          </w:tcPr>
          <w:p w:rsidR="00656AF3" w:rsidRDefault="00656AF3" w:rsidP="000D7181">
            <w:pPr>
              <w:spacing w:beforeAutospacing="1" w:afterAutospacing="1"/>
            </w:pPr>
            <w:r>
              <w:rPr>
                <w:color w:val="000000"/>
                <w:sz w:val="22"/>
              </w:rPr>
              <w:t>CDBG</w:t>
            </w:r>
          </w:p>
        </w:tc>
        <w:tc>
          <w:tcPr>
            <w:tcW w:w="2520" w:type="dxa"/>
            <w:vAlign w:val="center"/>
          </w:tcPr>
          <w:p w:rsidR="00656AF3" w:rsidRDefault="00656AF3" w:rsidP="000D7181">
            <w:pPr>
              <w:spacing w:beforeAutospacing="1" w:afterAutospacing="1"/>
            </w:pPr>
            <w:r>
              <w:rPr>
                <w:color w:val="000000"/>
                <w:sz w:val="22"/>
              </w:rPr>
              <w:t>Public Facility or Infrastructure Activities other than Low/Moderate Income Housing Benefit</w:t>
            </w:r>
          </w:p>
        </w:tc>
        <w:tc>
          <w:tcPr>
            <w:tcW w:w="1260" w:type="dxa"/>
            <w:vAlign w:val="center"/>
          </w:tcPr>
          <w:p w:rsidR="00656AF3" w:rsidRDefault="00656AF3" w:rsidP="000D7181">
            <w:pPr>
              <w:spacing w:beforeAutospacing="1" w:afterAutospacing="1"/>
            </w:pPr>
            <w:r>
              <w:rPr>
                <w:color w:val="000000"/>
                <w:sz w:val="22"/>
              </w:rPr>
              <w:t>Persons Assisted</w:t>
            </w:r>
          </w:p>
        </w:tc>
        <w:tc>
          <w:tcPr>
            <w:tcW w:w="990" w:type="dxa"/>
            <w:vAlign w:val="center"/>
          </w:tcPr>
          <w:p w:rsidR="00656AF3" w:rsidRDefault="00656AF3" w:rsidP="000D7181">
            <w:pPr>
              <w:spacing w:beforeAutospacing="1" w:afterAutospacing="1"/>
            </w:pPr>
            <w:r>
              <w:rPr>
                <w:color w:val="000000"/>
                <w:sz w:val="22"/>
              </w:rPr>
              <w:t>5000</w:t>
            </w:r>
          </w:p>
        </w:tc>
        <w:tc>
          <w:tcPr>
            <w:tcW w:w="921" w:type="dxa"/>
            <w:vAlign w:val="center"/>
          </w:tcPr>
          <w:p w:rsidR="00656AF3" w:rsidRDefault="009A4D13" w:rsidP="000D7181">
            <w:pPr>
              <w:spacing w:beforeAutospacing="1" w:afterAutospacing="1"/>
            </w:pPr>
            <w:r>
              <w:rPr>
                <w:color w:val="000000"/>
                <w:sz w:val="22"/>
              </w:rPr>
              <w:t>4435</w:t>
            </w:r>
          </w:p>
        </w:tc>
        <w:tc>
          <w:tcPr>
            <w:tcW w:w="1031" w:type="dxa"/>
            <w:vAlign w:val="center"/>
          </w:tcPr>
          <w:p w:rsidR="00656AF3" w:rsidRDefault="00656AF3" w:rsidP="005C236A">
            <w:pPr>
              <w:spacing w:beforeAutospacing="1" w:afterAutospacing="1"/>
            </w:pPr>
            <w:r>
              <w:rPr>
                <w:color w:val="000000"/>
                <w:sz w:val="22"/>
              </w:rPr>
              <w:t xml:space="preserve">   </w:t>
            </w:r>
            <w:r w:rsidR="009A4D13">
              <w:rPr>
                <w:color w:val="000000"/>
                <w:sz w:val="22"/>
              </w:rPr>
              <w:t>88.7</w:t>
            </w:r>
            <w:r>
              <w:rPr>
                <w:color w:val="000000"/>
                <w:sz w:val="22"/>
              </w:rPr>
              <w:t>0%</w:t>
            </w:r>
          </w:p>
        </w:tc>
        <w:tc>
          <w:tcPr>
            <w:tcW w:w="975" w:type="dxa"/>
            <w:vAlign w:val="center"/>
          </w:tcPr>
          <w:p w:rsidR="00656AF3" w:rsidRDefault="00656AF3" w:rsidP="000D7181">
            <w:pPr>
              <w:spacing w:beforeAutospacing="1" w:afterAutospacing="1"/>
            </w:pPr>
            <w:r>
              <w:rPr>
                <w:color w:val="000000"/>
                <w:sz w:val="22"/>
              </w:rPr>
              <w:t>1000</w:t>
            </w:r>
          </w:p>
        </w:tc>
        <w:tc>
          <w:tcPr>
            <w:tcW w:w="929" w:type="dxa"/>
            <w:vAlign w:val="center"/>
          </w:tcPr>
          <w:p w:rsidR="00656AF3" w:rsidRDefault="009A4D13" w:rsidP="000D7181">
            <w:pPr>
              <w:spacing w:beforeAutospacing="1" w:afterAutospacing="1"/>
            </w:pPr>
            <w:r>
              <w:rPr>
                <w:color w:val="000000"/>
                <w:sz w:val="22"/>
              </w:rPr>
              <w:t>4435</w:t>
            </w:r>
          </w:p>
        </w:tc>
        <w:tc>
          <w:tcPr>
            <w:tcW w:w="1034" w:type="dxa"/>
            <w:vAlign w:val="center"/>
          </w:tcPr>
          <w:p w:rsidR="00656AF3" w:rsidRDefault="00656AF3" w:rsidP="009A4D13">
            <w:pPr>
              <w:spacing w:beforeAutospacing="1" w:afterAutospacing="1"/>
            </w:pPr>
            <w:r>
              <w:rPr>
                <w:color w:val="000000"/>
                <w:sz w:val="22"/>
              </w:rPr>
              <w:t xml:space="preserve">  </w:t>
            </w:r>
            <w:r w:rsidR="005C236A">
              <w:rPr>
                <w:color w:val="000000"/>
                <w:sz w:val="22"/>
              </w:rPr>
              <w:t xml:space="preserve"> </w:t>
            </w:r>
            <w:r>
              <w:rPr>
                <w:color w:val="000000"/>
                <w:sz w:val="22"/>
              </w:rPr>
              <w:t xml:space="preserve"> </w:t>
            </w:r>
            <w:r w:rsidR="009A4D13">
              <w:rPr>
                <w:color w:val="000000"/>
                <w:sz w:val="22"/>
              </w:rPr>
              <w:t>443</w:t>
            </w:r>
            <w:r>
              <w:rPr>
                <w:color w:val="000000"/>
                <w:sz w:val="22"/>
              </w:rPr>
              <w:t>.</w:t>
            </w:r>
            <w:r w:rsidR="009A4D13">
              <w:rPr>
                <w:color w:val="000000"/>
                <w:sz w:val="22"/>
              </w:rPr>
              <w:t>5</w:t>
            </w:r>
            <w:r>
              <w:rPr>
                <w:color w:val="000000"/>
                <w:sz w:val="22"/>
              </w:rPr>
              <w:t>0%</w:t>
            </w:r>
          </w:p>
        </w:tc>
      </w:tr>
      <w:tr w:rsidR="00656AF3" w:rsidTr="00045711">
        <w:trPr>
          <w:cantSplit/>
        </w:trPr>
        <w:tc>
          <w:tcPr>
            <w:tcW w:w="1658" w:type="dxa"/>
            <w:shd w:val="clear" w:color="auto" w:fill="BFBFBF" w:themeFill="background1" w:themeFillShade="BF"/>
            <w:vAlign w:val="center"/>
          </w:tcPr>
          <w:p w:rsidR="00656AF3" w:rsidRDefault="00656AF3" w:rsidP="000D7181">
            <w:pPr>
              <w:spacing w:beforeAutospacing="1" w:afterAutospacing="1"/>
            </w:pPr>
            <w:r>
              <w:rPr>
                <w:color w:val="000000"/>
                <w:sz w:val="22"/>
              </w:rPr>
              <w:t>Vocational Training</w:t>
            </w:r>
          </w:p>
        </w:tc>
        <w:tc>
          <w:tcPr>
            <w:tcW w:w="1530" w:type="dxa"/>
            <w:vAlign w:val="center"/>
          </w:tcPr>
          <w:p w:rsidR="00656AF3" w:rsidRDefault="00656AF3" w:rsidP="000D7181">
            <w:pPr>
              <w:spacing w:beforeAutospacing="1" w:afterAutospacing="1"/>
            </w:pPr>
            <w:r>
              <w:rPr>
                <w:color w:val="000000"/>
                <w:sz w:val="22"/>
              </w:rPr>
              <w:t>Non-Housing Community Development</w:t>
            </w:r>
          </w:p>
        </w:tc>
        <w:tc>
          <w:tcPr>
            <w:tcW w:w="880" w:type="dxa"/>
            <w:vAlign w:val="center"/>
          </w:tcPr>
          <w:p w:rsidR="00656AF3" w:rsidRDefault="00656AF3" w:rsidP="000D7181">
            <w:pPr>
              <w:spacing w:beforeAutospacing="1" w:afterAutospacing="1"/>
            </w:pPr>
            <w:r>
              <w:rPr>
                <w:color w:val="000000"/>
                <w:sz w:val="22"/>
              </w:rPr>
              <w:t>CDBG</w:t>
            </w:r>
          </w:p>
        </w:tc>
        <w:tc>
          <w:tcPr>
            <w:tcW w:w="2520" w:type="dxa"/>
            <w:vAlign w:val="center"/>
          </w:tcPr>
          <w:p w:rsidR="00656AF3" w:rsidRDefault="00656AF3" w:rsidP="000D7181">
            <w:pPr>
              <w:spacing w:beforeAutospacing="1" w:afterAutospacing="1"/>
            </w:pPr>
            <w:r>
              <w:rPr>
                <w:color w:val="000000"/>
                <w:sz w:val="22"/>
              </w:rPr>
              <w:t>Public service activities other than Low/Moderate Income Housing Benefit</w:t>
            </w:r>
          </w:p>
        </w:tc>
        <w:tc>
          <w:tcPr>
            <w:tcW w:w="1260" w:type="dxa"/>
            <w:vAlign w:val="center"/>
          </w:tcPr>
          <w:p w:rsidR="00656AF3" w:rsidRDefault="00656AF3" w:rsidP="000D7181">
            <w:pPr>
              <w:spacing w:beforeAutospacing="1" w:afterAutospacing="1"/>
            </w:pPr>
            <w:r>
              <w:rPr>
                <w:color w:val="000000"/>
                <w:sz w:val="22"/>
              </w:rPr>
              <w:t>Persons Assisted</w:t>
            </w:r>
          </w:p>
        </w:tc>
        <w:tc>
          <w:tcPr>
            <w:tcW w:w="990" w:type="dxa"/>
            <w:vAlign w:val="center"/>
          </w:tcPr>
          <w:p w:rsidR="00656AF3" w:rsidRDefault="00656AF3" w:rsidP="000D7181">
            <w:pPr>
              <w:spacing w:beforeAutospacing="1" w:afterAutospacing="1"/>
            </w:pPr>
            <w:r>
              <w:rPr>
                <w:color w:val="000000"/>
                <w:sz w:val="22"/>
              </w:rPr>
              <w:t>70</w:t>
            </w:r>
          </w:p>
        </w:tc>
        <w:tc>
          <w:tcPr>
            <w:tcW w:w="921" w:type="dxa"/>
            <w:vAlign w:val="center"/>
          </w:tcPr>
          <w:p w:rsidR="00656AF3" w:rsidRDefault="00DB2AB0" w:rsidP="000D7181">
            <w:pPr>
              <w:spacing w:beforeAutospacing="1" w:afterAutospacing="1"/>
            </w:pPr>
            <w:r>
              <w:rPr>
                <w:color w:val="000000"/>
                <w:sz w:val="22"/>
              </w:rPr>
              <w:t>25</w:t>
            </w:r>
          </w:p>
        </w:tc>
        <w:tc>
          <w:tcPr>
            <w:tcW w:w="1031" w:type="dxa"/>
            <w:vAlign w:val="center"/>
          </w:tcPr>
          <w:p w:rsidR="00656AF3" w:rsidRDefault="00656AF3" w:rsidP="00DB2AB0">
            <w:pPr>
              <w:spacing w:beforeAutospacing="1" w:afterAutospacing="1"/>
            </w:pPr>
            <w:r>
              <w:rPr>
                <w:color w:val="000000"/>
                <w:sz w:val="22"/>
              </w:rPr>
              <w:t xml:space="preserve"> </w:t>
            </w:r>
            <w:r w:rsidR="00796B5E">
              <w:rPr>
                <w:color w:val="000000"/>
                <w:sz w:val="22"/>
              </w:rPr>
              <w:t>3</w:t>
            </w:r>
            <w:r w:rsidR="00DB2AB0">
              <w:rPr>
                <w:color w:val="000000"/>
                <w:sz w:val="22"/>
              </w:rPr>
              <w:t>5</w:t>
            </w:r>
            <w:r>
              <w:rPr>
                <w:color w:val="000000"/>
                <w:sz w:val="22"/>
              </w:rPr>
              <w:t>.</w:t>
            </w:r>
            <w:r w:rsidR="00DB2AB0">
              <w:rPr>
                <w:color w:val="000000"/>
                <w:sz w:val="22"/>
              </w:rPr>
              <w:t>71</w:t>
            </w:r>
            <w:r>
              <w:rPr>
                <w:color w:val="000000"/>
                <w:sz w:val="22"/>
              </w:rPr>
              <w:t>%</w:t>
            </w:r>
          </w:p>
        </w:tc>
        <w:tc>
          <w:tcPr>
            <w:tcW w:w="975" w:type="dxa"/>
            <w:vAlign w:val="center"/>
          </w:tcPr>
          <w:p w:rsidR="00656AF3" w:rsidRDefault="00656AF3" w:rsidP="000D7181">
            <w:pPr>
              <w:spacing w:beforeAutospacing="1" w:afterAutospacing="1"/>
            </w:pPr>
            <w:r>
              <w:rPr>
                <w:color w:val="000000"/>
                <w:sz w:val="22"/>
              </w:rPr>
              <w:t>14</w:t>
            </w:r>
          </w:p>
        </w:tc>
        <w:tc>
          <w:tcPr>
            <w:tcW w:w="929" w:type="dxa"/>
            <w:vAlign w:val="center"/>
          </w:tcPr>
          <w:p w:rsidR="00656AF3" w:rsidRDefault="00796B5E" w:rsidP="00DB2AB0">
            <w:pPr>
              <w:spacing w:beforeAutospacing="1" w:afterAutospacing="1"/>
            </w:pPr>
            <w:r>
              <w:rPr>
                <w:color w:val="000000"/>
                <w:sz w:val="22"/>
              </w:rPr>
              <w:t>1</w:t>
            </w:r>
            <w:r w:rsidR="00DB2AB0">
              <w:rPr>
                <w:color w:val="000000"/>
                <w:sz w:val="22"/>
              </w:rPr>
              <w:t>1</w:t>
            </w:r>
          </w:p>
        </w:tc>
        <w:tc>
          <w:tcPr>
            <w:tcW w:w="1034" w:type="dxa"/>
            <w:vAlign w:val="center"/>
          </w:tcPr>
          <w:p w:rsidR="00656AF3" w:rsidRDefault="00DB2AB0" w:rsidP="00DB2AB0">
            <w:pPr>
              <w:spacing w:beforeAutospacing="1" w:afterAutospacing="1"/>
            </w:pPr>
            <w:r>
              <w:rPr>
                <w:color w:val="000000"/>
                <w:sz w:val="22"/>
              </w:rPr>
              <w:t xml:space="preserve"> 78</w:t>
            </w:r>
            <w:r w:rsidR="00656AF3">
              <w:rPr>
                <w:color w:val="000000"/>
                <w:sz w:val="22"/>
              </w:rPr>
              <w:t>.</w:t>
            </w:r>
            <w:r>
              <w:rPr>
                <w:color w:val="000000"/>
                <w:sz w:val="22"/>
              </w:rPr>
              <w:t>57</w:t>
            </w:r>
            <w:r w:rsidR="00656AF3">
              <w:rPr>
                <w:color w:val="000000"/>
                <w:sz w:val="22"/>
              </w:rPr>
              <w:t>%</w:t>
            </w:r>
          </w:p>
        </w:tc>
      </w:tr>
    </w:tbl>
    <w:p w:rsidR="00656AF3" w:rsidRDefault="00656AF3" w:rsidP="00656AF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FB21A6">
        <w:rPr>
          <w:rFonts w:asciiTheme="minorHAnsi" w:hAnsiTheme="minorHAnsi"/>
          <w:noProof/>
        </w:rPr>
        <w:t>1</w:t>
      </w:r>
      <w:r>
        <w:rPr>
          <w:rFonts w:asciiTheme="minorHAnsi" w:hAnsiTheme="minorHAnsi"/>
        </w:rPr>
        <w:fldChar w:fldCharType="end"/>
      </w:r>
      <w:r>
        <w:rPr>
          <w:rFonts w:asciiTheme="minorHAnsi" w:hAnsiTheme="minorHAnsi"/>
        </w:rPr>
        <w:t xml:space="preserve"> - Accomplishments – Program Year &amp; Strategic Plan to Date</w:t>
      </w:r>
    </w:p>
    <w:p w:rsidR="00656AF3" w:rsidRDefault="00656AF3" w:rsidP="00656AF3"/>
    <w:p w:rsidR="00656AF3" w:rsidRDefault="00656AF3" w:rsidP="001C203A">
      <w:pPr>
        <w:keepNext/>
        <w:widowControl w:val="0"/>
        <w:spacing w:after="0" w:line="240" w:lineRule="auto"/>
        <w:rPr>
          <w:b/>
          <w:sz w:val="24"/>
          <w:szCs w:val="24"/>
        </w:rPr>
      </w:pPr>
      <w:r>
        <w:rPr>
          <w:b/>
          <w:sz w:val="24"/>
          <w:szCs w:val="24"/>
        </w:rPr>
        <w:t>Assess how the jurisdiction’s use of funds, particularly CDBG, addresses the priorities and specific objectives identified in the plan, giving special attention to the highest priority activities identified.</w:t>
      </w:r>
    </w:p>
    <w:p w:rsidR="001C203A" w:rsidRDefault="001C203A" w:rsidP="001C203A">
      <w:pPr>
        <w:keepNext/>
        <w:widowControl w:val="0"/>
        <w:spacing w:after="0" w:line="240" w:lineRule="auto"/>
      </w:pPr>
    </w:p>
    <w:p w:rsidR="00656AF3" w:rsidRDefault="00656AF3" w:rsidP="001C203A">
      <w:pPr>
        <w:keepNext/>
        <w:widowControl w:val="0"/>
        <w:spacing w:after="0" w:line="240" w:lineRule="auto"/>
      </w:pPr>
      <w:r>
        <w:t>All FY 201</w:t>
      </w:r>
      <w:r w:rsidR="00796B5E">
        <w:t>6</w:t>
      </w:r>
      <w:r>
        <w:t xml:space="preserve"> expenditures were high priority needs identified in the City's Consolidated Plan.  The City provided CDBG funds for vocational training, affordable housing, sidewalks, fair housing, and renovation and expansion of facilities serving homelessness, ex-offenders and mental health facilities.  All of the projects funded were identified as the highest priorties in the City's 2015-2019 Consolidated Plan.  CDBG projects with significant progress can be seen below:</w:t>
      </w:r>
    </w:p>
    <w:p w:rsidR="00EF41AF" w:rsidRDefault="00EF41AF" w:rsidP="001C203A">
      <w:pPr>
        <w:keepNext/>
        <w:widowControl w:val="0"/>
        <w:spacing w:after="0" w:line="240" w:lineRule="auto"/>
      </w:pPr>
    </w:p>
    <w:p w:rsidR="00656AF3" w:rsidRDefault="00796B5E" w:rsidP="001C203A">
      <w:pPr>
        <w:widowControl w:val="0"/>
        <w:numPr>
          <w:ilvl w:val="0"/>
          <w:numId w:val="3"/>
        </w:numPr>
        <w:spacing w:after="0" w:line="240" w:lineRule="auto"/>
        <w:rPr>
          <w:szCs w:val="24"/>
        </w:rPr>
      </w:pPr>
      <w:r>
        <w:t xml:space="preserve">Construction of </w:t>
      </w:r>
      <w:r w:rsidR="00656AF3">
        <w:t>3 sidewal</w:t>
      </w:r>
      <w:r>
        <w:t>k projects completed</w:t>
      </w:r>
      <w:r w:rsidR="00656AF3">
        <w:t xml:space="preserve"> (Worley intersection, N. Garth, Ellata Blvd)</w:t>
      </w:r>
    </w:p>
    <w:p w:rsidR="00656AF3" w:rsidRDefault="00656AF3" w:rsidP="001C203A">
      <w:pPr>
        <w:widowControl w:val="0"/>
        <w:numPr>
          <w:ilvl w:val="0"/>
          <w:numId w:val="3"/>
        </w:numPr>
        <w:spacing w:after="0" w:line="240" w:lineRule="auto"/>
        <w:rPr>
          <w:szCs w:val="24"/>
        </w:rPr>
      </w:pPr>
      <w:r>
        <w:t>Services for Independent Living with the completion of 2</w:t>
      </w:r>
      <w:r w:rsidR="00796B5E">
        <w:t>9</w:t>
      </w:r>
      <w:r>
        <w:t xml:space="preserve"> projects improving accessibility and home maintenance of elderly and disabled households.</w:t>
      </w:r>
    </w:p>
    <w:p w:rsidR="00656AF3" w:rsidRDefault="00656AF3" w:rsidP="001C203A">
      <w:pPr>
        <w:widowControl w:val="0"/>
        <w:numPr>
          <w:ilvl w:val="0"/>
          <w:numId w:val="3"/>
        </w:numPr>
        <w:spacing w:after="0" w:line="240" w:lineRule="auto"/>
        <w:rPr>
          <w:szCs w:val="24"/>
        </w:rPr>
      </w:pPr>
      <w:r>
        <w:t>Job Point completion of vocational trai</w:t>
      </w:r>
      <w:r w:rsidR="00796B5E">
        <w:t>ning for 1</w:t>
      </w:r>
      <w:r w:rsidR="00EF41AF">
        <w:t>1</w:t>
      </w:r>
      <w:r>
        <w:t xml:space="preserve"> students.</w:t>
      </w:r>
    </w:p>
    <w:p w:rsidR="00656AF3" w:rsidRDefault="00656AF3" w:rsidP="001C203A">
      <w:pPr>
        <w:widowControl w:val="0"/>
        <w:numPr>
          <w:ilvl w:val="0"/>
          <w:numId w:val="3"/>
        </w:numPr>
        <w:spacing w:after="0" w:line="240" w:lineRule="auto"/>
        <w:rPr>
          <w:szCs w:val="24"/>
        </w:rPr>
      </w:pPr>
      <w:r>
        <w:t>Signficant progress on Lynn Street homes and neighorhood infrastructure (106 Lynn and 110 Lynn, street lamps, undergrounding of electrical)</w:t>
      </w:r>
    </w:p>
    <w:p w:rsidR="00656AF3" w:rsidRDefault="00656AF3" w:rsidP="001C203A">
      <w:pPr>
        <w:widowControl w:val="0"/>
        <w:numPr>
          <w:ilvl w:val="0"/>
          <w:numId w:val="3"/>
        </w:numPr>
        <w:spacing w:after="0" w:line="240" w:lineRule="auto"/>
        <w:rPr>
          <w:szCs w:val="24"/>
        </w:rPr>
      </w:pPr>
      <w:r>
        <w:t>Increased Homeownership Assistan</w:t>
      </w:r>
      <w:r w:rsidR="00796B5E">
        <w:t>ce Program participation with 35</w:t>
      </w:r>
      <w:r>
        <w:t xml:space="preserve"> participants.</w:t>
      </w:r>
    </w:p>
    <w:p w:rsidR="00656AF3" w:rsidRDefault="00796B5E" w:rsidP="001C203A">
      <w:pPr>
        <w:widowControl w:val="0"/>
        <w:numPr>
          <w:ilvl w:val="0"/>
          <w:numId w:val="3"/>
        </w:numPr>
        <w:spacing w:after="0" w:line="240" w:lineRule="auto"/>
        <w:rPr>
          <w:szCs w:val="24"/>
        </w:rPr>
      </w:pPr>
      <w:r>
        <w:t>Significant progress on Welcome Home facility serving Veterans experiencing Homelessness</w:t>
      </w:r>
    </w:p>
    <w:p w:rsidR="00C56567" w:rsidRPr="00796B5E" w:rsidRDefault="00796B5E" w:rsidP="001C203A">
      <w:pPr>
        <w:keepNext/>
        <w:widowControl w:val="0"/>
        <w:numPr>
          <w:ilvl w:val="0"/>
          <w:numId w:val="3"/>
        </w:numPr>
        <w:spacing w:after="0" w:line="240" w:lineRule="auto"/>
        <w:rPr>
          <w:b/>
          <w:sz w:val="24"/>
          <w:szCs w:val="24"/>
        </w:rPr>
      </w:pPr>
      <w:r>
        <w:t>Demolition of 2</w:t>
      </w:r>
      <w:r w:rsidR="00656AF3">
        <w:t xml:space="preserve"> d</w:t>
      </w:r>
      <w:r>
        <w:t>ilapidated properties (804 King</w:t>
      </w:r>
      <w:r w:rsidR="00656AF3">
        <w:t xml:space="preserve">, </w:t>
      </w:r>
      <w:r>
        <w:t>4632 Apple Tree Lane</w:t>
      </w:r>
      <w:r w:rsidR="00656AF3">
        <w:t>).</w:t>
      </w:r>
    </w:p>
    <w:p w:rsidR="00C56567" w:rsidRDefault="00C56567">
      <w:pPr>
        <w:rPr>
          <w:b/>
          <w:i/>
          <w:sz w:val="26"/>
          <w:szCs w:val="26"/>
        </w:rPr>
        <w:sectPr w:rsidR="00C56567" w:rsidSect="00BF47D5">
          <w:pgSz w:w="15840" w:h="12240" w:orient="landscape"/>
          <w:pgMar w:top="1440" w:right="1440" w:bottom="1440" w:left="1440" w:header="720" w:footer="720" w:gutter="0"/>
          <w:cols w:space="720"/>
          <w:docGrid w:linePitch="360"/>
        </w:sectPr>
      </w:pPr>
    </w:p>
    <w:p w:rsidR="00C56567" w:rsidRDefault="00B931E6">
      <w:pPr>
        <w:rPr>
          <w:b/>
          <w:sz w:val="28"/>
          <w:szCs w:val="28"/>
        </w:rPr>
      </w:pPr>
      <w:bookmarkStart w:id="1" w:name="_Toc309810474"/>
      <w:r>
        <w:rPr>
          <w:b/>
          <w:sz w:val="28"/>
          <w:szCs w:val="28"/>
        </w:rPr>
        <w:t>CR-10 - Racial and Ethnic composition of families assisted</w:t>
      </w:r>
    </w:p>
    <w:p w:rsidR="00C56567" w:rsidRDefault="00B931E6">
      <w:pPr>
        <w:keepNext/>
        <w:widowControl w:val="0"/>
        <w:rPr>
          <w:b/>
          <w:sz w:val="24"/>
          <w:szCs w:val="24"/>
        </w:rPr>
      </w:pPr>
      <w:r>
        <w:rPr>
          <w:b/>
          <w:sz w:val="24"/>
          <w:szCs w:val="24"/>
        </w:rPr>
        <w:t xml:space="preserve">Describe the families assisted (including the racial and ethnic status of families assisted). 91.520(a) </w:t>
      </w:r>
    </w:p>
    <w:tbl>
      <w:tblPr>
        <w:tblW w:w="4176"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822"/>
        <w:gridCol w:w="1591"/>
        <w:gridCol w:w="1597"/>
      </w:tblGrid>
      <w:tr w:rsidR="00C56567" w:rsidTr="008C19D0">
        <w:trPr>
          <w:cantSplit/>
        </w:trPr>
        <w:tc>
          <w:tcPr>
            <w:tcW w:w="3010" w:type="pct"/>
            <w:shd w:val="clear" w:color="auto" w:fill="D9D9D9" w:themeFill="background1" w:themeFillShade="D9"/>
          </w:tcPr>
          <w:p w:rsidR="00C56567" w:rsidRDefault="00C56567" w:rsidP="008C19D0">
            <w:pPr>
              <w:keepNext/>
              <w:widowControl w:val="0"/>
              <w:shd w:val="clear" w:color="auto" w:fill="D9D9D9" w:themeFill="background1" w:themeFillShade="D9"/>
              <w:spacing w:after="0" w:line="240" w:lineRule="auto"/>
            </w:pPr>
          </w:p>
        </w:tc>
        <w:tc>
          <w:tcPr>
            <w:tcW w:w="993" w:type="pct"/>
            <w:shd w:val="clear" w:color="auto" w:fill="D9D9D9" w:themeFill="background1" w:themeFillShade="D9"/>
          </w:tcPr>
          <w:p w:rsidR="00C56567" w:rsidRDefault="00B931E6" w:rsidP="008C19D0">
            <w:pPr>
              <w:keepNext/>
              <w:widowControl w:val="0"/>
              <w:shd w:val="clear" w:color="auto" w:fill="D9D9D9" w:themeFill="background1" w:themeFillShade="D9"/>
              <w:spacing w:after="0" w:line="240" w:lineRule="auto"/>
              <w:jc w:val="center"/>
              <w:rPr>
                <w:b/>
              </w:rPr>
            </w:pPr>
            <w:r>
              <w:rPr>
                <w:b/>
              </w:rPr>
              <w:t>CDBG</w:t>
            </w:r>
          </w:p>
        </w:tc>
        <w:tc>
          <w:tcPr>
            <w:tcW w:w="997" w:type="pct"/>
            <w:shd w:val="clear" w:color="auto" w:fill="D9D9D9" w:themeFill="background1" w:themeFillShade="D9"/>
          </w:tcPr>
          <w:p w:rsidR="00C56567" w:rsidRDefault="00B931E6" w:rsidP="008C19D0">
            <w:pPr>
              <w:keepNext/>
              <w:widowControl w:val="0"/>
              <w:shd w:val="clear" w:color="auto" w:fill="D9D9D9" w:themeFill="background1" w:themeFillShade="D9"/>
              <w:spacing w:after="0" w:line="240" w:lineRule="auto"/>
              <w:jc w:val="center"/>
              <w:rPr>
                <w:b/>
              </w:rPr>
            </w:pPr>
            <w:r>
              <w:rPr>
                <w:b/>
              </w:rPr>
              <w:t>HOME</w:t>
            </w:r>
          </w:p>
        </w:tc>
      </w:tr>
    </w:tbl>
    <w:p w:rsidR="00C56567" w:rsidRDefault="00C56567" w:rsidP="008C19D0">
      <w:pPr>
        <w:keepNext/>
        <w:widowControl w:val="0"/>
        <w:shd w:val="clear" w:color="auto" w:fill="D9D9D9" w:themeFill="background1" w:themeFillShade="D9"/>
        <w:spacing w:after="0" w:line="240" w:lineRule="auto"/>
        <w:rPr>
          <w:b/>
          <w:vanish/>
          <w:sz w:val="24"/>
          <w:szCs w:val="24"/>
        </w:rPr>
      </w:pPr>
    </w:p>
    <w:tbl>
      <w:tblPr>
        <w:tblW w:w="4302"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820"/>
        <w:gridCol w:w="1589"/>
        <w:gridCol w:w="1589"/>
        <w:gridCol w:w="12"/>
        <w:gridCol w:w="241"/>
      </w:tblGrid>
      <w:tr w:rsidR="00C56567">
        <w:trPr>
          <w:cantSplit/>
          <w:hidden/>
        </w:trPr>
        <w:tc>
          <w:tcPr>
            <w:tcW w:w="2921" w:type="pct"/>
          </w:tcPr>
          <w:p w:rsidR="00C56567" w:rsidRDefault="00C56567" w:rsidP="008C19D0">
            <w:pPr>
              <w:keepNext/>
              <w:widowControl w:val="0"/>
              <w:shd w:val="clear" w:color="auto" w:fill="D9D9D9" w:themeFill="background1" w:themeFillShade="D9"/>
              <w:spacing w:after="0" w:line="240" w:lineRule="auto"/>
              <w:rPr>
                <w:vanish/>
              </w:rPr>
            </w:pPr>
          </w:p>
        </w:tc>
        <w:tc>
          <w:tcPr>
            <w:tcW w:w="963" w:type="pct"/>
          </w:tcPr>
          <w:p w:rsidR="00C56567" w:rsidRDefault="00C56567" w:rsidP="008C19D0">
            <w:pPr>
              <w:keepNext/>
              <w:widowControl w:val="0"/>
              <w:shd w:val="clear" w:color="auto" w:fill="D9D9D9" w:themeFill="background1" w:themeFillShade="D9"/>
              <w:spacing w:after="0" w:line="240" w:lineRule="auto"/>
              <w:jc w:val="center"/>
              <w:rPr>
                <w:b/>
                <w:vanish/>
              </w:rPr>
            </w:pPr>
          </w:p>
        </w:tc>
        <w:tc>
          <w:tcPr>
            <w:tcW w:w="963" w:type="pct"/>
          </w:tcPr>
          <w:p w:rsidR="00C56567" w:rsidRDefault="00C56567" w:rsidP="008C19D0">
            <w:pPr>
              <w:keepNext/>
              <w:widowControl w:val="0"/>
              <w:shd w:val="clear" w:color="auto" w:fill="D9D9D9" w:themeFill="background1" w:themeFillShade="D9"/>
              <w:spacing w:after="0" w:line="240" w:lineRule="auto"/>
              <w:jc w:val="center"/>
              <w:rPr>
                <w:b/>
                <w:vanish/>
              </w:rPr>
            </w:pPr>
          </w:p>
        </w:tc>
        <w:tc>
          <w:tcPr>
            <w:tcW w:w="153" w:type="pct"/>
            <w:gridSpan w:val="2"/>
          </w:tcPr>
          <w:p w:rsidR="00C56567" w:rsidRDefault="00C56567" w:rsidP="008C19D0">
            <w:pPr>
              <w:keepNext/>
              <w:widowControl w:val="0"/>
              <w:shd w:val="clear" w:color="auto" w:fill="D9D9D9" w:themeFill="background1" w:themeFillShade="D9"/>
              <w:spacing w:after="0" w:line="240" w:lineRule="auto"/>
              <w:jc w:val="center"/>
              <w:rPr>
                <w:b/>
                <w:vanish/>
              </w:rPr>
            </w:pPr>
          </w:p>
        </w:tc>
      </w:tr>
      <w:tr w:rsidR="00C56567" w:rsidTr="008C19D0">
        <w:trPr>
          <w:gridAfter w:val="1"/>
          <w:wAfter w:w="146" w:type="pct"/>
          <w:cantSplit/>
        </w:trPr>
        <w:tc>
          <w:tcPr>
            <w:tcW w:w="2921" w:type="pct"/>
            <w:shd w:val="clear" w:color="auto" w:fill="D9D9D9" w:themeFill="background1" w:themeFillShade="D9"/>
          </w:tcPr>
          <w:p w:rsidR="00C56567" w:rsidRDefault="00B931E6" w:rsidP="008C19D0">
            <w:pPr>
              <w:keepNext/>
              <w:widowControl w:val="0"/>
              <w:shd w:val="clear" w:color="auto" w:fill="D9D9D9" w:themeFill="background1" w:themeFillShade="D9"/>
              <w:spacing w:after="0" w:line="240" w:lineRule="auto"/>
              <w:rPr>
                <w:b/>
              </w:rPr>
            </w:pPr>
            <w:r>
              <w:rPr>
                <w:b/>
              </w:rPr>
              <w:t>Race:</w:t>
            </w:r>
          </w:p>
        </w:tc>
        <w:tc>
          <w:tcPr>
            <w:tcW w:w="963" w:type="pct"/>
            <w:shd w:val="clear" w:color="auto" w:fill="D9D9D9" w:themeFill="background1" w:themeFillShade="D9"/>
          </w:tcPr>
          <w:p w:rsidR="00C56567" w:rsidRDefault="00C56567" w:rsidP="008C19D0">
            <w:pPr>
              <w:keepNext/>
              <w:widowControl w:val="0"/>
              <w:shd w:val="clear" w:color="auto" w:fill="D9D9D9" w:themeFill="background1" w:themeFillShade="D9"/>
              <w:spacing w:after="0" w:line="240" w:lineRule="auto"/>
            </w:pPr>
          </w:p>
        </w:tc>
        <w:tc>
          <w:tcPr>
            <w:tcW w:w="970" w:type="pct"/>
            <w:gridSpan w:val="2"/>
            <w:shd w:val="clear" w:color="auto" w:fill="D9D9D9" w:themeFill="background1" w:themeFillShade="D9"/>
          </w:tcPr>
          <w:p w:rsidR="00C56567" w:rsidRDefault="00C56567" w:rsidP="008C19D0">
            <w:pPr>
              <w:keepNext/>
              <w:widowControl w:val="0"/>
              <w:shd w:val="clear" w:color="auto" w:fill="D9D9D9" w:themeFill="background1" w:themeFillShade="D9"/>
              <w:spacing w:after="0" w:line="240" w:lineRule="auto"/>
            </w:pPr>
          </w:p>
        </w:tc>
      </w:tr>
      <w:tr w:rsidR="00C56567">
        <w:trPr>
          <w:gridAfter w:val="1"/>
          <w:wAfter w:w="146" w:type="pct"/>
          <w:cantSplit/>
        </w:trPr>
        <w:tc>
          <w:tcPr>
            <w:tcW w:w="2921" w:type="pct"/>
          </w:tcPr>
          <w:p w:rsidR="00C56567" w:rsidRDefault="00B931E6">
            <w:pPr>
              <w:keepNext/>
              <w:widowControl w:val="0"/>
              <w:spacing w:after="0" w:line="240" w:lineRule="auto"/>
            </w:pPr>
            <w:r>
              <w:t>White</w:t>
            </w:r>
          </w:p>
        </w:tc>
        <w:tc>
          <w:tcPr>
            <w:tcW w:w="963" w:type="pct"/>
          </w:tcPr>
          <w:p w:rsidR="00C56567" w:rsidRDefault="00045711">
            <w:pPr>
              <w:keepNext/>
              <w:widowControl w:val="0"/>
              <w:spacing w:after="0" w:line="240" w:lineRule="auto"/>
            </w:pPr>
            <w:r>
              <w:t>121</w:t>
            </w:r>
          </w:p>
        </w:tc>
        <w:tc>
          <w:tcPr>
            <w:tcW w:w="970" w:type="pct"/>
            <w:gridSpan w:val="2"/>
          </w:tcPr>
          <w:p w:rsidR="00C56567" w:rsidRDefault="00045711">
            <w:pPr>
              <w:keepNext/>
              <w:widowControl w:val="0"/>
              <w:spacing w:after="0" w:line="240" w:lineRule="auto"/>
            </w:pPr>
            <w:r>
              <w:t>22</w:t>
            </w:r>
          </w:p>
        </w:tc>
      </w:tr>
      <w:tr w:rsidR="00C56567">
        <w:trPr>
          <w:gridAfter w:val="1"/>
          <w:wAfter w:w="146" w:type="pct"/>
          <w:cantSplit/>
        </w:trPr>
        <w:tc>
          <w:tcPr>
            <w:tcW w:w="2921" w:type="pct"/>
          </w:tcPr>
          <w:p w:rsidR="00C56567" w:rsidRDefault="00B931E6">
            <w:pPr>
              <w:keepNext/>
              <w:widowControl w:val="0"/>
              <w:spacing w:after="0" w:line="240" w:lineRule="auto"/>
            </w:pPr>
            <w:r>
              <w:t>Black or African American</w:t>
            </w:r>
          </w:p>
        </w:tc>
        <w:tc>
          <w:tcPr>
            <w:tcW w:w="963" w:type="pct"/>
          </w:tcPr>
          <w:p w:rsidR="00C56567" w:rsidRDefault="00045711">
            <w:pPr>
              <w:keepNext/>
              <w:widowControl w:val="0"/>
              <w:spacing w:after="0" w:line="240" w:lineRule="auto"/>
            </w:pPr>
            <w:r>
              <w:t>91</w:t>
            </w:r>
          </w:p>
        </w:tc>
        <w:tc>
          <w:tcPr>
            <w:tcW w:w="970" w:type="pct"/>
            <w:gridSpan w:val="2"/>
          </w:tcPr>
          <w:p w:rsidR="00C56567" w:rsidRDefault="00045711">
            <w:pPr>
              <w:keepNext/>
              <w:widowControl w:val="0"/>
              <w:spacing w:after="0" w:line="240" w:lineRule="auto"/>
            </w:pPr>
            <w:r>
              <w:t>3</w:t>
            </w:r>
          </w:p>
        </w:tc>
      </w:tr>
      <w:tr w:rsidR="00C56567">
        <w:trPr>
          <w:gridAfter w:val="1"/>
          <w:wAfter w:w="146" w:type="pct"/>
          <w:cantSplit/>
        </w:trPr>
        <w:tc>
          <w:tcPr>
            <w:tcW w:w="2921" w:type="pct"/>
          </w:tcPr>
          <w:p w:rsidR="00C56567" w:rsidRDefault="00B931E6">
            <w:pPr>
              <w:keepNext/>
              <w:widowControl w:val="0"/>
              <w:spacing w:after="0" w:line="240" w:lineRule="auto"/>
            </w:pPr>
            <w:r>
              <w:t>Asian</w:t>
            </w:r>
          </w:p>
        </w:tc>
        <w:tc>
          <w:tcPr>
            <w:tcW w:w="963" w:type="pct"/>
          </w:tcPr>
          <w:p w:rsidR="00C56567" w:rsidRDefault="00045711">
            <w:pPr>
              <w:keepNext/>
              <w:widowControl w:val="0"/>
              <w:spacing w:after="0" w:line="240" w:lineRule="auto"/>
            </w:pPr>
            <w:r>
              <w:t>8</w:t>
            </w:r>
          </w:p>
        </w:tc>
        <w:tc>
          <w:tcPr>
            <w:tcW w:w="970" w:type="pct"/>
            <w:gridSpan w:val="2"/>
          </w:tcPr>
          <w:p w:rsidR="00C56567" w:rsidRDefault="00045711">
            <w:pPr>
              <w:keepNext/>
              <w:widowControl w:val="0"/>
              <w:spacing w:after="0" w:line="240" w:lineRule="auto"/>
            </w:pPr>
            <w:r>
              <w:t>0</w:t>
            </w:r>
          </w:p>
        </w:tc>
      </w:tr>
      <w:tr w:rsidR="00C56567">
        <w:trPr>
          <w:gridAfter w:val="1"/>
          <w:wAfter w:w="146" w:type="pct"/>
          <w:cantSplit/>
        </w:trPr>
        <w:tc>
          <w:tcPr>
            <w:tcW w:w="2921" w:type="pct"/>
          </w:tcPr>
          <w:p w:rsidR="00C56567" w:rsidRDefault="00B931E6">
            <w:pPr>
              <w:keepNext/>
              <w:widowControl w:val="0"/>
              <w:spacing w:after="0" w:line="240" w:lineRule="auto"/>
            </w:pPr>
            <w:r>
              <w:t>American Indian or American Native</w:t>
            </w:r>
          </w:p>
        </w:tc>
        <w:tc>
          <w:tcPr>
            <w:tcW w:w="963" w:type="pct"/>
          </w:tcPr>
          <w:p w:rsidR="00C56567" w:rsidRDefault="00045711">
            <w:pPr>
              <w:keepNext/>
              <w:widowControl w:val="0"/>
              <w:spacing w:after="0" w:line="240" w:lineRule="auto"/>
            </w:pPr>
            <w:r>
              <w:t>7</w:t>
            </w:r>
          </w:p>
        </w:tc>
        <w:tc>
          <w:tcPr>
            <w:tcW w:w="970" w:type="pct"/>
            <w:gridSpan w:val="2"/>
          </w:tcPr>
          <w:p w:rsidR="00C56567" w:rsidRDefault="00045711">
            <w:pPr>
              <w:keepNext/>
              <w:widowControl w:val="0"/>
              <w:spacing w:after="0" w:line="240" w:lineRule="auto"/>
            </w:pPr>
            <w:r>
              <w:t>1</w:t>
            </w:r>
          </w:p>
        </w:tc>
      </w:tr>
      <w:tr w:rsidR="00C56567">
        <w:trPr>
          <w:gridAfter w:val="1"/>
          <w:wAfter w:w="146" w:type="pct"/>
          <w:cantSplit/>
        </w:trPr>
        <w:tc>
          <w:tcPr>
            <w:tcW w:w="2921" w:type="pct"/>
          </w:tcPr>
          <w:p w:rsidR="00C56567" w:rsidRDefault="00B931E6">
            <w:pPr>
              <w:keepNext/>
              <w:widowControl w:val="0"/>
              <w:spacing w:after="0" w:line="240" w:lineRule="auto"/>
            </w:pPr>
            <w:r>
              <w:t>Native Hawaiian or Other Pacific Islander</w:t>
            </w:r>
          </w:p>
        </w:tc>
        <w:tc>
          <w:tcPr>
            <w:tcW w:w="963" w:type="pct"/>
          </w:tcPr>
          <w:p w:rsidR="00C56567" w:rsidRDefault="00045711">
            <w:pPr>
              <w:keepNext/>
              <w:widowControl w:val="0"/>
              <w:spacing w:after="0" w:line="240" w:lineRule="auto"/>
            </w:pPr>
            <w:r>
              <w:t>6</w:t>
            </w:r>
          </w:p>
        </w:tc>
        <w:tc>
          <w:tcPr>
            <w:tcW w:w="970" w:type="pct"/>
            <w:gridSpan w:val="2"/>
          </w:tcPr>
          <w:p w:rsidR="00C56567" w:rsidRDefault="00045711">
            <w:pPr>
              <w:keepNext/>
              <w:widowControl w:val="0"/>
              <w:spacing w:after="0" w:line="240" w:lineRule="auto"/>
            </w:pPr>
            <w:r>
              <w:t>0</w:t>
            </w:r>
          </w:p>
        </w:tc>
      </w:tr>
    </w:tbl>
    <w:p w:rsidR="00C56567" w:rsidRDefault="00C56567">
      <w:pPr>
        <w:keepNext/>
        <w:widowControl w:val="0"/>
        <w:spacing w:after="0" w:line="240" w:lineRule="auto"/>
        <w:rPr>
          <w:b/>
          <w:vanish/>
          <w:sz w:val="24"/>
          <w:szCs w:val="24"/>
        </w:rPr>
      </w:pPr>
    </w:p>
    <w:tbl>
      <w:tblPr>
        <w:tblW w:w="4302"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820"/>
        <w:gridCol w:w="1589"/>
        <w:gridCol w:w="1589"/>
        <w:gridCol w:w="12"/>
        <w:gridCol w:w="241"/>
      </w:tblGrid>
      <w:tr w:rsidR="00C56567">
        <w:trPr>
          <w:cantSplit/>
          <w:hidden/>
        </w:trPr>
        <w:tc>
          <w:tcPr>
            <w:tcW w:w="2921" w:type="pct"/>
          </w:tcPr>
          <w:p w:rsidR="00C56567" w:rsidRDefault="00C56567">
            <w:pPr>
              <w:keepNext/>
              <w:widowControl w:val="0"/>
              <w:spacing w:after="0" w:line="240" w:lineRule="auto"/>
              <w:rPr>
                <w:vanish/>
              </w:rPr>
            </w:pPr>
          </w:p>
        </w:tc>
        <w:tc>
          <w:tcPr>
            <w:tcW w:w="963" w:type="pct"/>
          </w:tcPr>
          <w:p w:rsidR="00C56567" w:rsidRDefault="00C56567">
            <w:pPr>
              <w:keepNext/>
              <w:widowControl w:val="0"/>
              <w:spacing w:after="0" w:line="240" w:lineRule="auto"/>
              <w:jc w:val="center"/>
              <w:rPr>
                <w:b/>
                <w:vanish/>
              </w:rPr>
            </w:pPr>
          </w:p>
        </w:tc>
        <w:tc>
          <w:tcPr>
            <w:tcW w:w="963" w:type="pct"/>
          </w:tcPr>
          <w:p w:rsidR="00C56567" w:rsidRDefault="00C56567">
            <w:pPr>
              <w:keepNext/>
              <w:widowControl w:val="0"/>
              <w:spacing w:after="0" w:line="240" w:lineRule="auto"/>
              <w:jc w:val="center"/>
              <w:rPr>
                <w:b/>
                <w:vanish/>
              </w:rPr>
            </w:pPr>
          </w:p>
        </w:tc>
        <w:tc>
          <w:tcPr>
            <w:tcW w:w="153" w:type="pct"/>
            <w:gridSpan w:val="2"/>
          </w:tcPr>
          <w:p w:rsidR="00C56567" w:rsidRDefault="00C56567">
            <w:pPr>
              <w:keepNext/>
              <w:widowControl w:val="0"/>
              <w:spacing w:after="0" w:line="240" w:lineRule="auto"/>
              <w:jc w:val="center"/>
              <w:rPr>
                <w:b/>
                <w:vanish/>
              </w:rPr>
            </w:pPr>
          </w:p>
        </w:tc>
      </w:tr>
      <w:tr w:rsidR="00C56567">
        <w:trPr>
          <w:gridAfter w:val="1"/>
          <w:wAfter w:w="146" w:type="pct"/>
          <w:cantSplit/>
        </w:trPr>
        <w:tc>
          <w:tcPr>
            <w:tcW w:w="2921" w:type="pct"/>
          </w:tcPr>
          <w:p w:rsidR="00C56567" w:rsidRDefault="00B931E6">
            <w:pPr>
              <w:keepNext/>
              <w:widowControl w:val="0"/>
              <w:spacing w:after="0" w:line="240" w:lineRule="auto"/>
              <w:rPr>
                <w:b/>
              </w:rPr>
            </w:pPr>
            <w:r>
              <w:rPr>
                <w:b/>
              </w:rPr>
              <w:t>Total</w:t>
            </w:r>
          </w:p>
        </w:tc>
        <w:tc>
          <w:tcPr>
            <w:tcW w:w="963" w:type="pct"/>
          </w:tcPr>
          <w:p w:rsidR="00C56567" w:rsidRDefault="00045711">
            <w:pPr>
              <w:keepNext/>
              <w:widowControl w:val="0"/>
              <w:spacing w:after="0" w:line="240" w:lineRule="auto"/>
            </w:pPr>
            <w:r>
              <w:t>233</w:t>
            </w:r>
          </w:p>
        </w:tc>
        <w:tc>
          <w:tcPr>
            <w:tcW w:w="970" w:type="pct"/>
            <w:gridSpan w:val="2"/>
          </w:tcPr>
          <w:p w:rsidR="00C56567" w:rsidRDefault="00045711">
            <w:pPr>
              <w:keepNext/>
              <w:widowControl w:val="0"/>
              <w:spacing w:after="0" w:line="240" w:lineRule="auto"/>
            </w:pPr>
            <w:r>
              <w:t>26</w:t>
            </w:r>
          </w:p>
        </w:tc>
      </w:tr>
    </w:tbl>
    <w:p w:rsidR="00C56567" w:rsidRDefault="00C56567">
      <w:pPr>
        <w:keepNext/>
        <w:widowControl w:val="0"/>
        <w:spacing w:after="0" w:line="240" w:lineRule="auto"/>
        <w:rPr>
          <w:b/>
          <w:vanish/>
          <w:sz w:val="24"/>
          <w:szCs w:val="24"/>
        </w:rPr>
      </w:pPr>
    </w:p>
    <w:tbl>
      <w:tblPr>
        <w:tblW w:w="4302"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820"/>
        <w:gridCol w:w="1589"/>
        <w:gridCol w:w="1589"/>
        <w:gridCol w:w="12"/>
        <w:gridCol w:w="241"/>
      </w:tblGrid>
      <w:tr w:rsidR="00C56567">
        <w:trPr>
          <w:cantSplit/>
          <w:hidden/>
        </w:trPr>
        <w:tc>
          <w:tcPr>
            <w:tcW w:w="2921" w:type="pct"/>
          </w:tcPr>
          <w:p w:rsidR="00C56567" w:rsidRDefault="00C56567">
            <w:pPr>
              <w:keepNext/>
              <w:widowControl w:val="0"/>
              <w:spacing w:after="0" w:line="240" w:lineRule="auto"/>
              <w:rPr>
                <w:vanish/>
              </w:rPr>
            </w:pPr>
          </w:p>
        </w:tc>
        <w:tc>
          <w:tcPr>
            <w:tcW w:w="963" w:type="pct"/>
          </w:tcPr>
          <w:p w:rsidR="00C56567" w:rsidRDefault="00C56567">
            <w:pPr>
              <w:keepNext/>
              <w:widowControl w:val="0"/>
              <w:spacing w:after="0" w:line="240" w:lineRule="auto"/>
              <w:jc w:val="center"/>
              <w:rPr>
                <w:b/>
                <w:vanish/>
              </w:rPr>
            </w:pPr>
          </w:p>
        </w:tc>
        <w:tc>
          <w:tcPr>
            <w:tcW w:w="963" w:type="pct"/>
          </w:tcPr>
          <w:p w:rsidR="00C56567" w:rsidRDefault="00C56567">
            <w:pPr>
              <w:keepNext/>
              <w:widowControl w:val="0"/>
              <w:spacing w:after="0" w:line="240" w:lineRule="auto"/>
              <w:jc w:val="center"/>
              <w:rPr>
                <w:b/>
                <w:vanish/>
              </w:rPr>
            </w:pPr>
          </w:p>
        </w:tc>
        <w:tc>
          <w:tcPr>
            <w:tcW w:w="153" w:type="pct"/>
            <w:gridSpan w:val="2"/>
          </w:tcPr>
          <w:p w:rsidR="00C56567" w:rsidRDefault="00C56567">
            <w:pPr>
              <w:keepNext/>
              <w:widowControl w:val="0"/>
              <w:spacing w:after="0" w:line="240" w:lineRule="auto"/>
              <w:jc w:val="center"/>
              <w:rPr>
                <w:b/>
                <w:vanish/>
              </w:rPr>
            </w:pPr>
          </w:p>
        </w:tc>
      </w:tr>
      <w:tr w:rsidR="00C56567" w:rsidTr="008C19D0">
        <w:trPr>
          <w:gridAfter w:val="1"/>
          <w:wAfter w:w="146" w:type="pct"/>
          <w:cantSplit/>
        </w:trPr>
        <w:tc>
          <w:tcPr>
            <w:tcW w:w="2921" w:type="pct"/>
            <w:shd w:val="clear" w:color="auto" w:fill="D9D9D9" w:themeFill="background1" w:themeFillShade="D9"/>
          </w:tcPr>
          <w:p w:rsidR="00C56567" w:rsidRDefault="00B931E6">
            <w:pPr>
              <w:keepNext/>
              <w:widowControl w:val="0"/>
              <w:spacing w:after="0" w:line="240" w:lineRule="auto"/>
              <w:rPr>
                <w:b/>
              </w:rPr>
            </w:pPr>
            <w:r>
              <w:rPr>
                <w:b/>
              </w:rPr>
              <w:t>Ethnicity:</w:t>
            </w:r>
          </w:p>
        </w:tc>
        <w:tc>
          <w:tcPr>
            <w:tcW w:w="963" w:type="pct"/>
            <w:shd w:val="clear" w:color="auto" w:fill="D9D9D9" w:themeFill="background1" w:themeFillShade="D9"/>
          </w:tcPr>
          <w:p w:rsidR="00C56567" w:rsidRDefault="00C56567">
            <w:pPr>
              <w:keepNext/>
              <w:widowControl w:val="0"/>
              <w:spacing w:after="0" w:line="240" w:lineRule="auto"/>
            </w:pPr>
          </w:p>
        </w:tc>
        <w:tc>
          <w:tcPr>
            <w:tcW w:w="970" w:type="pct"/>
            <w:gridSpan w:val="2"/>
            <w:shd w:val="clear" w:color="auto" w:fill="D9D9D9" w:themeFill="background1" w:themeFillShade="D9"/>
          </w:tcPr>
          <w:p w:rsidR="00C56567" w:rsidRDefault="00C56567">
            <w:pPr>
              <w:keepNext/>
              <w:widowControl w:val="0"/>
              <w:spacing w:after="0" w:line="240" w:lineRule="auto"/>
            </w:pPr>
          </w:p>
        </w:tc>
      </w:tr>
      <w:tr w:rsidR="00C56567">
        <w:trPr>
          <w:gridAfter w:val="1"/>
          <w:wAfter w:w="146" w:type="pct"/>
          <w:cantSplit/>
        </w:trPr>
        <w:tc>
          <w:tcPr>
            <w:tcW w:w="2921" w:type="pct"/>
          </w:tcPr>
          <w:p w:rsidR="00C56567" w:rsidRDefault="00B931E6">
            <w:pPr>
              <w:keepNext/>
              <w:widowControl w:val="0"/>
              <w:spacing w:after="0" w:line="240" w:lineRule="auto"/>
            </w:pPr>
            <w:r>
              <w:t>Hispanic</w:t>
            </w:r>
          </w:p>
        </w:tc>
        <w:tc>
          <w:tcPr>
            <w:tcW w:w="963" w:type="pct"/>
          </w:tcPr>
          <w:p w:rsidR="00C56567" w:rsidRDefault="00B92AAD">
            <w:pPr>
              <w:keepNext/>
              <w:widowControl w:val="0"/>
              <w:spacing w:after="0" w:line="240" w:lineRule="auto"/>
            </w:pPr>
            <w:r>
              <w:t>8</w:t>
            </w:r>
          </w:p>
        </w:tc>
        <w:tc>
          <w:tcPr>
            <w:tcW w:w="970" w:type="pct"/>
            <w:gridSpan w:val="2"/>
          </w:tcPr>
          <w:p w:rsidR="00C56567" w:rsidRDefault="00B92AAD">
            <w:pPr>
              <w:keepNext/>
              <w:widowControl w:val="0"/>
              <w:spacing w:after="0" w:line="240" w:lineRule="auto"/>
            </w:pPr>
            <w:r>
              <w:t>0</w:t>
            </w:r>
          </w:p>
        </w:tc>
      </w:tr>
      <w:tr w:rsidR="00C56567">
        <w:trPr>
          <w:gridAfter w:val="1"/>
          <w:wAfter w:w="146" w:type="pct"/>
          <w:cantSplit/>
        </w:trPr>
        <w:tc>
          <w:tcPr>
            <w:tcW w:w="2921" w:type="pct"/>
          </w:tcPr>
          <w:p w:rsidR="00C56567" w:rsidRDefault="00B931E6">
            <w:pPr>
              <w:keepNext/>
              <w:widowControl w:val="0"/>
              <w:spacing w:after="0" w:line="240" w:lineRule="auto"/>
            </w:pPr>
            <w:r>
              <w:t>Not Hispanic</w:t>
            </w:r>
          </w:p>
        </w:tc>
        <w:tc>
          <w:tcPr>
            <w:tcW w:w="963" w:type="pct"/>
          </w:tcPr>
          <w:p w:rsidR="00C56567" w:rsidRDefault="00B92AAD">
            <w:pPr>
              <w:keepNext/>
              <w:widowControl w:val="0"/>
              <w:spacing w:after="0" w:line="240" w:lineRule="auto"/>
            </w:pPr>
            <w:r>
              <w:t>225</w:t>
            </w:r>
          </w:p>
        </w:tc>
        <w:tc>
          <w:tcPr>
            <w:tcW w:w="970" w:type="pct"/>
            <w:gridSpan w:val="2"/>
          </w:tcPr>
          <w:p w:rsidR="00C56567" w:rsidRDefault="00B92AAD">
            <w:pPr>
              <w:keepNext/>
              <w:widowControl w:val="0"/>
              <w:spacing w:after="0" w:line="240" w:lineRule="auto"/>
            </w:pPr>
            <w:r>
              <w:t>26</w:t>
            </w:r>
          </w:p>
        </w:tc>
      </w:tr>
    </w:tbl>
    <w:p w:rsidR="00C56567" w:rsidRDefault="00B931E6">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FB21A6">
        <w:rPr>
          <w:rFonts w:asciiTheme="minorHAnsi" w:hAnsiTheme="minorHAnsi"/>
          <w:noProof/>
        </w:rPr>
        <w:t>2</w:t>
      </w:r>
      <w:r>
        <w:rPr>
          <w:rFonts w:asciiTheme="minorHAnsi" w:hAnsiTheme="minorHAnsi"/>
        </w:rPr>
        <w:fldChar w:fldCharType="end"/>
      </w:r>
      <w:r>
        <w:rPr>
          <w:rFonts w:asciiTheme="minorHAnsi" w:hAnsiTheme="minorHAnsi"/>
        </w:rPr>
        <w:t xml:space="preserve"> – Table of assistance to racial and ethnic populations by source of funds</w:t>
      </w:r>
    </w:p>
    <w:p w:rsidR="00C56567" w:rsidRDefault="00C56567">
      <w:pPr>
        <w:rPr>
          <w:b/>
          <w:sz w:val="24"/>
          <w:szCs w:val="24"/>
        </w:rPr>
      </w:pPr>
    </w:p>
    <w:p w:rsidR="00C56567" w:rsidRDefault="00C56567">
      <w:pPr>
        <w:widowControl w:val="0"/>
      </w:pPr>
    </w:p>
    <w:p w:rsidR="00C56567" w:rsidRDefault="00C56567">
      <w:pPr>
        <w:sectPr w:rsidR="00C56567">
          <w:pgSz w:w="12240" w:h="15840" w:code="1"/>
          <w:pgMar w:top="1440" w:right="1440" w:bottom="1440" w:left="1440" w:header="720" w:footer="720" w:gutter="0"/>
          <w:cols w:space="720"/>
          <w:docGrid w:linePitch="360"/>
        </w:sectPr>
      </w:pPr>
    </w:p>
    <w:bookmarkEnd w:id="1"/>
    <w:p w:rsidR="00C56567" w:rsidRDefault="00B931E6">
      <w:pPr>
        <w:pStyle w:val="Heading2"/>
        <w:rPr>
          <w:rFonts w:ascii="Calibri" w:hAnsi="Calibri"/>
          <w:i w:val="0"/>
        </w:rPr>
      </w:pPr>
      <w:r>
        <w:rPr>
          <w:rFonts w:ascii="Calibri" w:hAnsi="Calibri"/>
          <w:i w:val="0"/>
        </w:rPr>
        <w:t>CR-15 - Resources and Investments 91.520(a)</w:t>
      </w:r>
    </w:p>
    <w:p w:rsidR="00C56567" w:rsidRDefault="00B931E6">
      <w:pPr>
        <w:keepNext/>
        <w:widowControl w:val="0"/>
        <w:spacing w:after="0" w:line="240" w:lineRule="auto"/>
        <w:rPr>
          <w:b/>
          <w:sz w:val="24"/>
          <w:szCs w:val="24"/>
        </w:rPr>
      </w:pPr>
      <w:r>
        <w:rPr>
          <w:b/>
          <w:sz w:val="24"/>
          <w:szCs w:val="24"/>
        </w:rPr>
        <w:t>Identify the resources made available</w:t>
      </w:r>
    </w:p>
    <w:tbl>
      <w:tblPr>
        <w:tblW w:w="375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4"/>
        <w:gridCol w:w="2394"/>
      </w:tblGrid>
      <w:tr w:rsidR="00BE6CAD" w:rsidTr="008C19D0">
        <w:trPr>
          <w:cantSplit/>
        </w:trPr>
        <w:tc>
          <w:tcPr>
            <w:tcW w:w="2394" w:type="dxa"/>
            <w:shd w:val="clear" w:color="auto" w:fill="D9D9D9" w:themeFill="background1" w:themeFillShade="D9"/>
          </w:tcPr>
          <w:p w:rsidR="00BE6CAD" w:rsidRDefault="00BE6CAD">
            <w:pPr>
              <w:keepNext/>
              <w:widowControl w:val="0"/>
              <w:spacing w:after="0" w:line="240" w:lineRule="auto"/>
              <w:jc w:val="center"/>
              <w:rPr>
                <w:rFonts w:cs="Arial"/>
                <w:b/>
              </w:rPr>
            </w:pPr>
            <w:r>
              <w:rPr>
                <w:rFonts w:cs="Arial"/>
                <w:b/>
              </w:rPr>
              <w:t>Source of Funds</w:t>
            </w:r>
          </w:p>
        </w:tc>
        <w:tc>
          <w:tcPr>
            <w:tcW w:w="2394" w:type="dxa"/>
            <w:shd w:val="clear" w:color="auto" w:fill="D9D9D9" w:themeFill="background1" w:themeFillShade="D9"/>
          </w:tcPr>
          <w:p w:rsidR="00BE6CAD" w:rsidRDefault="00BE6CAD">
            <w:pPr>
              <w:keepNext/>
              <w:spacing w:after="0" w:line="240" w:lineRule="auto"/>
              <w:jc w:val="center"/>
              <w:rPr>
                <w:rFonts w:cs="Arial"/>
                <w:b/>
              </w:rPr>
            </w:pPr>
            <w:r>
              <w:rPr>
                <w:rFonts w:cs="Arial"/>
                <w:b/>
              </w:rPr>
              <w:t>Resources Made Available</w:t>
            </w:r>
          </w:p>
        </w:tc>
        <w:tc>
          <w:tcPr>
            <w:tcW w:w="2394" w:type="dxa"/>
            <w:shd w:val="clear" w:color="auto" w:fill="D9D9D9" w:themeFill="background1" w:themeFillShade="D9"/>
          </w:tcPr>
          <w:p w:rsidR="00BE6CAD" w:rsidRDefault="00BE6CAD">
            <w:pPr>
              <w:keepNext/>
              <w:widowControl w:val="0"/>
              <w:spacing w:after="0" w:line="240" w:lineRule="auto"/>
              <w:jc w:val="center"/>
              <w:rPr>
                <w:rFonts w:cs="Arial"/>
                <w:b/>
              </w:rPr>
            </w:pPr>
            <w:r>
              <w:rPr>
                <w:rFonts w:cs="Arial"/>
                <w:b/>
              </w:rPr>
              <w:t>Amount Expended During Program Year</w:t>
            </w:r>
          </w:p>
        </w:tc>
      </w:tr>
      <w:tr w:rsidR="00BE6CAD" w:rsidTr="00BE6CAD">
        <w:trPr>
          <w:cantSplit/>
        </w:trPr>
        <w:tc>
          <w:tcPr>
            <w:tcW w:w="2394" w:type="dxa"/>
          </w:tcPr>
          <w:p w:rsidR="00BE6CAD" w:rsidRDefault="00BE6CAD">
            <w:pPr>
              <w:keepNext/>
              <w:widowControl w:val="0"/>
              <w:spacing w:after="0" w:line="240" w:lineRule="auto"/>
              <w:rPr>
                <w:rFonts w:cs="Arial"/>
              </w:rPr>
            </w:pPr>
            <w:r>
              <w:rPr>
                <w:rFonts w:cs="Arial"/>
              </w:rPr>
              <w:t>CDBG</w:t>
            </w:r>
          </w:p>
        </w:tc>
        <w:tc>
          <w:tcPr>
            <w:tcW w:w="2394" w:type="dxa"/>
          </w:tcPr>
          <w:p w:rsidR="00BE6CAD" w:rsidRDefault="001A6F04" w:rsidP="001A6F04">
            <w:pPr>
              <w:keepNext/>
              <w:widowControl w:val="0"/>
              <w:spacing w:after="0" w:line="240" w:lineRule="auto"/>
              <w:jc w:val="center"/>
              <w:rPr>
                <w:rFonts w:cs="Arial"/>
              </w:rPr>
            </w:pPr>
            <w:r>
              <w:rPr>
                <w:rFonts w:cs="Arial"/>
              </w:rPr>
              <w:t>2,084,286.68</w:t>
            </w:r>
          </w:p>
        </w:tc>
        <w:tc>
          <w:tcPr>
            <w:tcW w:w="2394" w:type="dxa"/>
          </w:tcPr>
          <w:p w:rsidR="00BE6CAD" w:rsidRDefault="001A6F04" w:rsidP="008C19D0">
            <w:pPr>
              <w:keepNext/>
              <w:widowControl w:val="0"/>
              <w:spacing w:after="0" w:line="240" w:lineRule="auto"/>
              <w:jc w:val="center"/>
              <w:rPr>
                <w:rFonts w:cs="Arial"/>
              </w:rPr>
            </w:pPr>
            <w:r>
              <w:rPr>
                <w:rFonts w:cs="Arial"/>
              </w:rPr>
              <w:t>1,180,830.37</w:t>
            </w:r>
          </w:p>
        </w:tc>
      </w:tr>
      <w:tr w:rsidR="00BE6CAD" w:rsidTr="00BE6CAD">
        <w:trPr>
          <w:cantSplit/>
        </w:trPr>
        <w:tc>
          <w:tcPr>
            <w:tcW w:w="2394" w:type="dxa"/>
          </w:tcPr>
          <w:p w:rsidR="00BE6CAD" w:rsidRDefault="00BE6CAD">
            <w:pPr>
              <w:keepNext/>
              <w:widowControl w:val="0"/>
              <w:spacing w:after="0" w:line="240" w:lineRule="auto"/>
              <w:rPr>
                <w:rFonts w:cs="Arial"/>
              </w:rPr>
            </w:pPr>
            <w:r>
              <w:rPr>
                <w:rFonts w:cs="Arial"/>
              </w:rPr>
              <w:t>HOME</w:t>
            </w:r>
          </w:p>
        </w:tc>
        <w:tc>
          <w:tcPr>
            <w:tcW w:w="2394" w:type="dxa"/>
          </w:tcPr>
          <w:p w:rsidR="00BE6CAD" w:rsidRDefault="000A003A" w:rsidP="008C19D0">
            <w:pPr>
              <w:keepNext/>
              <w:widowControl w:val="0"/>
              <w:spacing w:after="0" w:line="240" w:lineRule="auto"/>
              <w:jc w:val="center"/>
              <w:rPr>
                <w:rFonts w:cs="Arial"/>
              </w:rPr>
            </w:pPr>
            <w:r>
              <w:rPr>
                <w:rFonts w:cs="Arial"/>
              </w:rPr>
              <w:t>1,145,192.20</w:t>
            </w:r>
          </w:p>
        </w:tc>
        <w:tc>
          <w:tcPr>
            <w:tcW w:w="2394" w:type="dxa"/>
          </w:tcPr>
          <w:p w:rsidR="00BE6CAD" w:rsidRDefault="008C19D0" w:rsidP="008C19D0">
            <w:pPr>
              <w:keepNext/>
              <w:widowControl w:val="0"/>
              <w:spacing w:after="0" w:line="240" w:lineRule="auto"/>
              <w:jc w:val="center"/>
              <w:rPr>
                <w:rFonts w:cs="Arial"/>
              </w:rPr>
            </w:pPr>
            <w:r>
              <w:rPr>
                <w:rFonts w:cs="Arial"/>
              </w:rPr>
              <w:t>714,718.25</w:t>
            </w:r>
          </w:p>
        </w:tc>
      </w:tr>
      <w:tr w:rsidR="00BE6CAD" w:rsidTr="00BE6CAD">
        <w:trPr>
          <w:cantSplit/>
        </w:trPr>
        <w:tc>
          <w:tcPr>
            <w:tcW w:w="2394" w:type="dxa"/>
          </w:tcPr>
          <w:p w:rsidR="00BE6CAD" w:rsidRDefault="00BE6CAD">
            <w:pPr>
              <w:keepNext/>
              <w:widowControl w:val="0"/>
              <w:spacing w:after="0" w:line="240" w:lineRule="auto"/>
              <w:rPr>
                <w:rFonts w:cs="Arial"/>
              </w:rPr>
            </w:pPr>
            <w:r>
              <w:rPr>
                <w:rFonts w:cs="Arial"/>
              </w:rPr>
              <w:t>Energy Inspections</w:t>
            </w:r>
          </w:p>
        </w:tc>
        <w:tc>
          <w:tcPr>
            <w:tcW w:w="2394" w:type="dxa"/>
          </w:tcPr>
          <w:p w:rsidR="00BE6CAD" w:rsidRDefault="008C19D0" w:rsidP="008C19D0">
            <w:pPr>
              <w:keepNext/>
              <w:widowControl w:val="0"/>
              <w:spacing w:after="0" w:line="240" w:lineRule="auto"/>
              <w:jc w:val="center"/>
              <w:rPr>
                <w:rFonts w:cs="Arial"/>
              </w:rPr>
            </w:pPr>
            <w:r>
              <w:rPr>
                <w:rFonts w:cs="Arial"/>
              </w:rPr>
              <w:t>12,300</w:t>
            </w:r>
          </w:p>
        </w:tc>
        <w:tc>
          <w:tcPr>
            <w:tcW w:w="2394" w:type="dxa"/>
          </w:tcPr>
          <w:p w:rsidR="00BE6CAD" w:rsidRDefault="001A6F04" w:rsidP="008C19D0">
            <w:pPr>
              <w:keepNext/>
              <w:widowControl w:val="0"/>
              <w:spacing w:after="0" w:line="240" w:lineRule="auto"/>
              <w:jc w:val="center"/>
              <w:rPr>
                <w:rFonts w:cs="Arial"/>
              </w:rPr>
            </w:pPr>
            <w:r>
              <w:rPr>
                <w:rFonts w:cs="Arial"/>
              </w:rPr>
              <w:t>12,300</w:t>
            </w:r>
          </w:p>
        </w:tc>
      </w:tr>
      <w:tr w:rsidR="00BE6CAD" w:rsidTr="00BE6CAD">
        <w:trPr>
          <w:cantSplit/>
        </w:trPr>
        <w:tc>
          <w:tcPr>
            <w:tcW w:w="2394" w:type="dxa"/>
          </w:tcPr>
          <w:p w:rsidR="00BE6CAD" w:rsidRDefault="00BE6CAD">
            <w:pPr>
              <w:keepNext/>
              <w:widowControl w:val="0"/>
              <w:spacing w:after="0" w:line="240" w:lineRule="auto"/>
              <w:rPr>
                <w:rFonts w:cs="Arial"/>
              </w:rPr>
            </w:pPr>
            <w:r>
              <w:rPr>
                <w:rFonts w:cs="Arial"/>
              </w:rPr>
              <w:t>Local General Revenue</w:t>
            </w:r>
          </w:p>
        </w:tc>
        <w:tc>
          <w:tcPr>
            <w:tcW w:w="2394" w:type="dxa"/>
          </w:tcPr>
          <w:p w:rsidR="00BE6CAD" w:rsidRDefault="00A17413" w:rsidP="008C19D0">
            <w:pPr>
              <w:keepNext/>
              <w:widowControl w:val="0"/>
              <w:spacing w:after="0" w:line="240" w:lineRule="auto"/>
              <w:jc w:val="center"/>
              <w:rPr>
                <w:rFonts w:cs="Arial"/>
              </w:rPr>
            </w:pPr>
            <w:r>
              <w:rPr>
                <w:rFonts w:cs="Arial"/>
              </w:rPr>
              <w:t>824,910</w:t>
            </w:r>
          </w:p>
        </w:tc>
        <w:tc>
          <w:tcPr>
            <w:tcW w:w="2394" w:type="dxa"/>
          </w:tcPr>
          <w:p w:rsidR="00BE6CAD" w:rsidRDefault="00A17413" w:rsidP="008C19D0">
            <w:pPr>
              <w:keepNext/>
              <w:widowControl w:val="0"/>
              <w:spacing w:after="0" w:line="240" w:lineRule="auto"/>
              <w:jc w:val="center"/>
              <w:rPr>
                <w:rFonts w:cs="Arial"/>
              </w:rPr>
            </w:pPr>
            <w:r>
              <w:rPr>
                <w:rFonts w:cs="Arial"/>
              </w:rPr>
              <w:t>329,047.15</w:t>
            </w:r>
          </w:p>
        </w:tc>
      </w:tr>
      <w:tr w:rsidR="00BE6CAD" w:rsidTr="00BE6CAD">
        <w:trPr>
          <w:cantSplit/>
        </w:trPr>
        <w:tc>
          <w:tcPr>
            <w:tcW w:w="2394" w:type="dxa"/>
          </w:tcPr>
          <w:p w:rsidR="00BE6CAD" w:rsidRDefault="001A6F04" w:rsidP="001A6F04">
            <w:pPr>
              <w:keepNext/>
              <w:widowControl w:val="0"/>
              <w:spacing w:after="0" w:line="240" w:lineRule="auto"/>
              <w:jc w:val="right"/>
              <w:rPr>
                <w:rFonts w:cs="Arial"/>
              </w:rPr>
            </w:pPr>
            <w:r>
              <w:rPr>
                <w:rFonts w:cs="Arial"/>
              </w:rPr>
              <w:t>Total</w:t>
            </w:r>
          </w:p>
        </w:tc>
        <w:tc>
          <w:tcPr>
            <w:tcW w:w="2394" w:type="dxa"/>
          </w:tcPr>
          <w:p w:rsidR="00BE6CAD" w:rsidRDefault="001A6F04" w:rsidP="008C19D0">
            <w:pPr>
              <w:keepNext/>
              <w:widowControl w:val="0"/>
              <w:spacing w:after="0" w:line="240" w:lineRule="auto"/>
              <w:jc w:val="center"/>
              <w:rPr>
                <w:rFonts w:cs="Arial"/>
              </w:rPr>
            </w:pPr>
            <w:r>
              <w:rPr>
                <w:rFonts w:cs="Arial"/>
              </w:rPr>
              <w:t>4,066,688.68</w:t>
            </w:r>
          </w:p>
        </w:tc>
        <w:tc>
          <w:tcPr>
            <w:tcW w:w="2394" w:type="dxa"/>
          </w:tcPr>
          <w:p w:rsidR="00BE6CAD" w:rsidRDefault="001A6F04" w:rsidP="008C19D0">
            <w:pPr>
              <w:keepNext/>
              <w:widowControl w:val="0"/>
              <w:spacing w:after="0" w:line="240" w:lineRule="auto"/>
              <w:jc w:val="center"/>
              <w:rPr>
                <w:rFonts w:cs="Arial"/>
              </w:rPr>
            </w:pPr>
            <w:r>
              <w:rPr>
                <w:rFonts w:cs="Arial"/>
              </w:rPr>
              <w:t>$2,236,895.77</w:t>
            </w:r>
          </w:p>
        </w:tc>
      </w:tr>
    </w:tbl>
    <w:p w:rsidR="00C56567" w:rsidRDefault="00B931E6">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FB21A6">
        <w:rPr>
          <w:rFonts w:asciiTheme="minorHAnsi" w:hAnsiTheme="minorHAnsi"/>
          <w:noProof/>
        </w:rPr>
        <w:t>3</w:t>
      </w:r>
      <w:r>
        <w:rPr>
          <w:rFonts w:asciiTheme="minorHAnsi" w:hAnsiTheme="minorHAnsi"/>
        </w:rPr>
        <w:fldChar w:fldCharType="end"/>
      </w:r>
      <w:r>
        <w:rPr>
          <w:rFonts w:asciiTheme="minorHAnsi" w:hAnsiTheme="minorHAnsi"/>
        </w:rPr>
        <w:t xml:space="preserve"> - Resources Made Available</w:t>
      </w:r>
    </w:p>
    <w:p w:rsidR="00C56567" w:rsidRDefault="00C56567">
      <w:pPr>
        <w:spacing w:after="0" w:line="240" w:lineRule="auto"/>
        <w:rPr>
          <w:b/>
          <w:sz w:val="24"/>
          <w:szCs w:val="24"/>
        </w:rPr>
      </w:pPr>
    </w:p>
    <w:p w:rsidR="00C56567" w:rsidRDefault="00B931E6">
      <w:pPr>
        <w:spacing w:after="0" w:line="240" w:lineRule="auto"/>
        <w:rPr>
          <w:b/>
          <w:sz w:val="24"/>
          <w:szCs w:val="24"/>
        </w:rPr>
      </w:pPr>
      <w:r>
        <w:rPr>
          <w:b/>
          <w:sz w:val="24"/>
          <w:szCs w:val="24"/>
        </w:rPr>
        <w:t>Narrative</w:t>
      </w:r>
    </w:p>
    <w:p w:rsidR="00C56567" w:rsidRDefault="00C56567">
      <w:pPr>
        <w:spacing w:after="0" w:line="240" w:lineRule="auto"/>
        <w:rPr>
          <w:b/>
          <w:sz w:val="24"/>
          <w:szCs w:val="24"/>
        </w:rPr>
      </w:pPr>
    </w:p>
    <w:p w:rsidR="006B64B3" w:rsidRDefault="00EF41AF" w:rsidP="00EF41AF">
      <w:pPr>
        <w:spacing w:after="0" w:line="240" w:lineRule="auto"/>
        <w:rPr>
          <w:rFonts w:cs="Arial"/>
        </w:rPr>
      </w:pPr>
      <w:r>
        <w:rPr>
          <w:rFonts w:cs="Arial"/>
        </w:rPr>
        <w:t>The City of Columbia met all CDBG and HOME expenditure and funding committment requirements in FY2016.  The City experienced a significant increase in expenditures in the Homeownership Assistance Program, due to additional funding for the program and a signifiant outreach and marketing of the program.  The City expended $265,275 in combined HOME and local funds on the Homeownership Assistance Program, resulting in 35 first-time homebuyers and over $</w:t>
      </w:r>
      <w:r w:rsidR="006B64B3">
        <w:rPr>
          <w:rFonts w:cs="Arial"/>
        </w:rPr>
        <w:t>4</w:t>
      </w:r>
      <w:r>
        <w:rPr>
          <w:rFonts w:cs="Arial"/>
        </w:rPr>
        <w:t xml:space="preserve"> million in private mortgages.  </w:t>
      </w:r>
    </w:p>
    <w:p w:rsidR="006B64B3" w:rsidRDefault="006B64B3" w:rsidP="00EF41AF">
      <w:pPr>
        <w:spacing w:after="0" w:line="240" w:lineRule="auto"/>
        <w:rPr>
          <w:rFonts w:cs="Arial"/>
        </w:rPr>
      </w:pPr>
    </w:p>
    <w:p w:rsidR="00EF41AF" w:rsidRDefault="006B64B3" w:rsidP="00EF41AF">
      <w:pPr>
        <w:spacing w:after="0" w:line="240" w:lineRule="auto"/>
        <w:rPr>
          <w:rFonts w:cs="Arial"/>
        </w:rPr>
      </w:pPr>
      <w:r>
        <w:rPr>
          <w:rFonts w:cs="Arial"/>
        </w:rPr>
        <w:t>The City also completed 3</w:t>
      </w:r>
      <w:r w:rsidR="00EF41AF">
        <w:rPr>
          <w:rFonts w:cs="Arial"/>
        </w:rPr>
        <w:t xml:space="preserve"> </w:t>
      </w:r>
      <w:r>
        <w:rPr>
          <w:rFonts w:cs="Arial"/>
        </w:rPr>
        <w:t xml:space="preserve">sidewalk </w:t>
      </w:r>
      <w:r w:rsidR="00EF41AF">
        <w:rPr>
          <w:rFonts w:cs="Arial"/>
        </w:rPr>
        <w:t>projects</w:t>
      </w:r>
      <w:r w:rsidR="00E76B4C">
        <w:rPr>
          <w:rFonts w:cs="Arial"/>
        </w:rPr>
        <w:t>:</w:t>
      </w:r>
      <w:r w:rsidR="00EF41AF">
        <w:rPr>
          <w:rFonts w:cs="Arial"/>
        </w:rPr>
        <w:t xml:space="preserve"> </w:t>
      </w:r>
      <w:r>
        <w:rPr>
          <w:rFonts w:cs="Arial"/>
        </w:rPr>
        <w:t>N. Garth, Worley and Clinkscales and Elleta Blvd.</w:t>
      </w:r>
      <w:r w:rsidR="00EF41AF">
        <w:rPr>
          <w:rFonts w:cs="Arial"/>
        </w:rPr>
        <w:t xml:space="preserve"> </w:t>
      </w:r>
      <w:r>
        <w:rPr>
          <w:rFonts w:cs="Arial"/>
        </w:rPr>
        <w:t xml:space="preserve"> </w:t>
      </w:r>
      <w:r w:rsidR="00EF41AF">
        <w:rPr>
          <w:rFonts w:cs="Arial"/>
        </w:rPr>
        <w:t>The City expended a signficant level of CDBG funding on job training for low-income at-risk youth through Job Point's tr</w:t>
      </w:r>
      <w:r>
        <w:rPr>
          <w:rFonts w:cs="Arial"/>
        </w:rPr>
        <w:t>aining programs, resulting in 11</w:t>
      </w:r>
      <w:r w:rsidR="00EF41AF">
        <w:rPr>
          <w:rFonts w:cs="Arial"/>
        </w:rPr>
        <w:t xml:space="preserve"> students prepared for additional training or employment.  A summary of City CDBG and HOME expenditures can be seen below:</w:t>
      </w:r>
    </w:p>
    <w:p w:rsidR="00EF41AF" w:rsidRDefault="00EF41AF">
      <w:pPr>
        <w:keepNext/>
        <w:spacing w:after="0" w:line="240" w:lineRule="auto"/>
        <w:rPr>
          <w:b/>
          <w:sz w:val="24"/>
          <w:szCs w:val="24"/>
        </w:rPr>
      </w:pPr>
    </w:p>
    <w:p w:rsidR="00C56567" w:rsidRDefault="00B931E6">
      <w:pPr>
        <w:keepNext/>
        <w:spacing w:after="0" w:line="240" w:lineRule="auto"/>
        <w:rPr>
          <w:b/>
          <w:sz w:val="24"/>
          <w:szCs w:val="24"/>
        </w:rPr>
      </w:pPr>
      <w:r>
        <w:rPr>
          <w:b/>
          <w:sz w:val="24"/>
          <w:szCs w:val="24"/>
        </w:rPr>
        <w:t>Identify the geographic distribution and location of investments</w:t>
      </w:r>
    </w:p>
    <w:tbl>
      <w:tblPr>
        <w:tblW w:w="3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2276"/>
        <w:gridCol w:w="2394"/>
      </w:tblGrid>
      <w:tr w:rsidR="002F738B" w:rsidTr="001C203A">
        <w:trPr>
          <w:cantSplit/>
        </w:trPr>
        <w:tc>
          <w:tcPr>
            <w:tcW w:w="2970" w:type="dxa"/>
            <w:shd w:val="clear" w:color="auto" w:fill="D9D9D9" w:themeFill="background1" w:themeFillShade="D9"/>
          </w:tcPr>
          <w:p w:rsidR="002F738B" w:rsidRDefault="002F738B">
            <w:pPr>
              <w:keepNext/>
              <w:widowControl w:val="0"/>
              <w:spacing w:after="0" w:line="240" w:lineRule="auto"/>
              <w:jc w:val="center"/>
              <w:rPr>
                <w:rFonts w:cs="Arial"/>
                <w:b/>
              </w:rPr>
            </w:pPr>
            <w:r>
              <w:rPr>
                <w:rFonts w:cs="Arial"/>
                <w:b/>
              </w:rPr>
              <w:t>Target Area</w:t>
            </w:r>
          </w:p>
        </w:tc>
        <w:tc>
          <w:tcPr>
            <w:tcW w:w="2276" w:type="dxa"/>
            <w:shd w:val="clear" w:color="auto" w:fill="D9D9D9" w:themeFill="background1" w:themeFillShade="D9"/>
          </w:tcPr>
          <w:p w:rsidR="002F738B" w:rsidRDefault="002F738B">
            <w:pPr>
              <w:keepNext/>
              <w:widowControl w:val="0"/>
              <w:spacing w:after="0" w:line="240" w:lineRule="auto"/>
              <w:jc w:val="center"/>
              <w:rPr>
                <w:rFonts w:cs="Arial"/>
                <w:b/>
              </w:rPr>
            </w:pPr>
            <w:r>
              <w:rPr>
                <w:rFonts w:cs="Arial"/>
                <w:b/>
              </w:rPr>
              <w:t>Planned Percentage of Allocation</w:t>
            </w:r>
          </w:p>
        </w:tc>
        <w:tc>
          <w:tcPr>
            <w:tcW w:w="2394" w:type="dxa"/>
            <w:shd w:val="clear" w:color="auto" w:fill="D9D9D9" w:themeFill="background1" w:themeFillShade="D9"/>
          </w:tcPr>
          <w:p w:rsidR="002F738B" w:rsidRDefault="002F738B">
            <w:pPr>
              <w:keepNext/>
              <w:spacing w:after="0" w:line="240" w:lineRule="auto"/>
              <w:jc w:val="center"/>
              <w:rPr>
                <w:rFonts w:cs="Arial"/>
                <w:b/>
              </w:rPr>
            </w:pPr>
            <w:r>
              <w:rPr>
                <w:rFonts w:cs="Arial"/>
                <w:b/>
              </w:rPr>
              <w:t>Actual Percentage of Allocation</w:t>
            </w:r>
          </w:p>
        </w:tc>
      </w:tr>
      <w:tr w:rsidR="002F738B" w:rsidTr="001C203A">
        <w:trPr>
          <w:cantSplit/>
        </w:trPr>
        <w:tc>
          <w:tcPr>
            <w:tcW w:w="2970" w:type="dxa"/>
          </w:tcPr>
          <w:p w:rsidR="002F738B" w:rsidRDefault="002F738B">
            <w:pPr>
              <w:keepNext/>
              <w:widowControl w:val="0"/>
              <w:spacing w:after="0" w:line="240" w:lineRule="auto"/>
              <w:rPr>
                <w:rFonts w:cs="Arial"/>
              </w:rPr>
            </w:pPr>
            <w:r>
              <w:rPr>
                <w:rFonts w:cs="Arial"/>
              </w:rPr>
              <w:t>Neighborhood Response Team</w:t>
            </w:r>
          </w:p>
        </w:tc>
        <w:tc>
          <w:tcPr>
            <w:tcW w:w="2276" w:type="dxa"/>
          </w:tcPr>
          <w:p w:rsidR="002F738B" w:rsidRDefault="002F738B" w:rsidP="002F738B">
            <w:pPr>
              <w:keepNext/>
              <w:widowControl w:val="0"/>
              <w:spacing w:after="0" w:line="240" w:lineRule="auto"/>
              <w:jc w:val="center"/>
              <w:rPr>
                <w:rFonts w:cs="Arial"/>
              </w:rPr>
            </w:pPr>
            <w:r>
              <w:rPr>
                <w:rFonts w:cs="Arial"/>
              </w:rPr>
              <w:t>25%</w:t>
            </w:r>
          </w:p>
        </w:tc>
        <w:tc>
          <w:tcPr>
            <w:tcW w:w="2394" w:type="dxa"/>
          </w:tcPr>
          <w:p w:rsidR="002F738B" w:rsidRDefault="002F738B" w:rsidP="002F738B">
            <w:pPr>
              <w:keepNext/>
              <w:widowControl w:val="0"/>
              <w:spacing w:after="0" w:line="240" w:lineRule="auto"/>
              <w:jc w:val="center"/>
              <w:rPr>
                <w:rFonts w:cs="Arial"/>
              </w:rPr>
            </w:pPr>
            <w:r>
              <w:rPr>
                <w:rFonts w:cs="Arial"/>
              </w:rPr>
              <w:t>39%</w:t>
            </w:r>
          </w:p>
        </w:tc>
      </w:tr>
      <w:tr w:rsidR="002F738B" w:rsidTr="001C203A">
        <w:trPr>
          <w:cantSplit/>
        </w:trPr>
        <w:tc>
          <w:tcPr>
            <w:tcW w:w="2970" w:type="dxa"/>
          </w:tcPr>
          <w:p w:rsidR="002F738B" w:rsidRDefault="002F738B">
            <w:pPr>
              <w:keepNext/>
              <w:widowControl w:val="0"/>
              <w:spacing w:after="0" w:line="240" w:lineRule="auto"/>
              <w:rPr>
                <w:rFonts w:cs="Arial"/>
              </w:rPr>
            </w:pPr>
            <w:r>
              <w:rPr>
                <w:rFonts w:cs="Arial"/>
              </w:rPr>
              <w:t>CDBG Eligible Area</w:t>
            </w:r>
          </w:p>
        </w:tc>
        <w:tc>
          <w:tcPr>
            <w:tcW w:w="2276" w:type="dxa"/>
          </w:tcPr>
          <w:p w:rsidR="002F738B" w:rsidRDefault="002F738B" w:rsidP="002F738B">
            <w:pPr>
              <w:keepNext/>
              <w:widowControl w:val="0"/>
              <w:spacing w:after="0" w:line="240" w:lineRule="auto"/>
              <w:jc w:val="center"/>
              <w:rPr>
                <w:rFonts w:cs="Arial"/>
              </w:rPr>
            </w:pPr>
            <w:r>
              <w:rPr>
                <w:rFonts w:cs="Arial"/>
              </w:rPr>
              <w:t>75%</w:t>
            </w:r>
          </w:p>
        </w:tc>
        <w:tc>
          <w:tcPr>
            <w:tcW w:w="2394" w:type="dxa"/>
          </w:tcPr>
          <w:p w:rsidR="002F738B" w:rsidRDefault="002F738B" w:rsidP="002F738B">
            <w:pPr>
              <w:keepNext/>
              <w:widowControl w:val="0"/>
              <w:spacing w:after="0" w:line="240" w:lineRule="auto"/>
              <w:jc w:val="center"/>
              <w:rPr>
                <w:rFonts w:cs="Arial"/>
              </w:rPr>
            </w:pPr>
            <w:r>
              <w:rPr>
                <w:rFonts w:cs="Arial"/>
              </w:rPr>
              <w:t>64%</w:t>
            </w:r>
          </w:p>
        </w:tc>
      </w:tr>
      <w:tr w:rsidR="002F738B" w:rsidTr="001C203A">
        <w:trPr>
          <w:cantSplit/>
        </w:trPr>
        <w:tc>
          <w:tcPr>
            <w:tcW w:w="2970" w:type="dxa"/>
          </w:tcPr>
          <w:p w:rsidR="002F738B" w:rsidRDefault="002F738B">
            <w:pPr>
              <w:keepNext/>
              <w:widowControl w:val="0"/>
              <w:spacing w:after="0" w:line="240" w:lineRule="auto"/>
              <w:rPr>
                <w:rFonts w:cs="Arial"/>
              </w:rPr>
            </w:pPr>
            <w:r>
              <w:rPr>
                <w:rFonts w:cs="Arial"/>
              </w:rPr>
              <w:t>Citywide</w:t>
            </w:r>
          </w:p>
        </w:tc>
        <w:tc>
          <w:tcPr>
            <w:tcW w:w="2276" w:type="dxa"/>
          </w:tcPr>
          <w:p w:rsidR="002F738B" w:rsidRDefault="002F738B" w:rsidP="002F738B">
            <w:pPr>
              <w:keepNext/>
              <w:widowControl w:val="0"/>
              <w:spacing w:after="0" w:line="240" w:lineRule="auto"/>
              <w:jc w:val="center"/>
              <w:rPr>
                <w:rFonts w:cs="Arial"/>
              </w:rPr>
            </w:pPr>
            <w:r>
              <w:rPr>
                <w:rFonts w:cs="Arial"/>
              </w:rPr>
              <w:t>25%</w:t>
            </w:r>
          </w:p>
        </w:tc>
        <w:tc>
          <w:tcPr>
            <w:tcW w:w="2394" w:type="dxa"/>
          </w:tcPr>
          <w:p w:rsidR="002F738B" w:rsidRDefault="002F738B" w:rsidP="002F738B">
            <w:pPr>
              <w:keepNext/>
              <w:widowControl w:val="0"/>
              <w:spacing w:after="0" w:line="240" w:lineRule="auto"/>
              <w:jc w:val="center"/>
              <w:rPr>
                <w:rFonts w:cs="Arial"/>
              </w:rPr>
            </w:pPr>
            <w:r>
              <w:rPr>
                <w:rFonts w:cs="Arial"/>
              </w:rPr>
              <w:t>36%</w:t>
            </w:r>
          </w:p>
        </w:tc>
      </w:tr>
    </w:tbl>
    <w:p w:rsidR="00C56567" w:rsidRDefault="00B931E6">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FB21A6">
        <w:rPr>
          <w:rFonts w:asciiTheme="minorHAnsi" w:hAnsiTheme="minorHAnsi"/>
          <w:noProof/>
        </w:rPr>
        <w:t>4</w:t>
      </w:r>
      <w:r>
        <w:rPr>
          <w:rFonts w:asciiTheme="minorHAnsi" w:hAnsiTheme="minorHAnsi"/>
        </w:rPr>
        <w:fldChar w:fldCharType="end"/>
      </w:r>
      <w:r>
        <w:rPr>
          <w:rFonts w:asciiTheme="minorHAnsi" w:hAnsiTheme="minorHAnsi"/>
        </w:rPr>
        <w:t xml:space="preserve"> – Identify the geographic distribution and location of investments</w:t>
      </w:r>
    </w:p>
    <w:p w:rsidR="00C56567" w:rsidRDefault="00C56567">
      <w:pPr>
        <w:keepNext/>
        <w:widowControl w:val="0"/>
        <w:spacing w:line="204" w:lineRule="auto"/>
        <w:rPr>
          <w:b/>
          <w:sz w:val="24"/>
          <w:szCs w:val="24"/>
        </w:rPr>
      </w:pPr>
    </w:p>
    <w:p w:rsidR="00C56567" w:rsidRDefault="00B931E6">
      <w:pPr>
        <w:pageBreakBefore/>
        <w:widowControl w:val="0"/>
        <w:spacing w:line="240" w:lineRule="auto"/>
        <w:rPr>
          <w:b/>
          <w:sz w:val="24"/>
          <w:szCs w:val="24"/>
        </w:rPr>
      </w:pPr>
      <w:r>
        <w:rPr>
          <w:b/>
          <w:sz w:val="24"/>
          <w:szCs w:val="24"/>
        </w:rPr>
        <w:t>Leveraging</w:t>
      </w:r>
    </w:p>
    <w:p w:rsidR="00C56567" w:rsidRDefault="00B931E6">
      <w:pPr>
        <w:widowControl w:val="0"/>
        <w:spacing w:line="240" w:lineRule="auto"/>
        <w:rPr>
          <w:b/>
          <w:sz w:val="24"/>
          <w:szCs w:val="24"/>
        </w:rPr>
      </w:pPr>
      <w:r>
        <w:rPr>
          <w:b/>
          <w:sz w:val="24"/>
          <w:szCs w:val="24"/>
        </w:rPr>
        <w:t>Explain how federal funds  leveraged additional resources (private, state and local funds), including a description of how matching requirements were satisfied, as well as how any publicly owned land or property located within the jurisdiction that were used to address the needs identified in the plan.</w:t>
      </w:r>
    </w:p>
    <w:p w:rsidR="00C56567" w:rsidRPr="001C203A" w:rsidRDefault="001C203A">
      <w:pPr>
        <w:widowControl w:val="0"/>
        <w:spacing w:after="0" w:line="240" w:lineRule="auto"/>
        <w:rPr>
          <w:szCs w:val="24"/>
        </w:rPr>
      </w:pPr>
      <w:r>
        <w:rPr>
          <w:szCs w:val="24"/>
        </w:rPr>
        <w:t xml:space="preserve">The City of Columbia procured $119,100.96 in additional match funding compliant with HOME match requirements.  </w:t>
      </w:r>
      <w:r w:rsidR="00A76527">
        <w:rPr>
          <w:szCs w:val="24"/>
        </w:rPr>
        <w:t>The sources of match came from donations to Show-Me Central Habitat for Humanity, City general revenue provided for downpayment assistance, waived permit fees and city funds expended on Columbia Community Land Trust planning and feasibility efforts.</w:t>
      </w:r>
    </w:p>
    <w:p w:rsidR="00C56567" w:rsidRDefault="00C56567">
      <w:pPr>
        <w:widowControl w:val="0"/>
        <w:spacing w:line="204" w:lineRule="auto"/>
        <w:rPr>
          <w:rFonts w:cs="Arial"/>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3"/>
        <w:gridCol w:w="2383"/>
      </w:tblGrid>
      <w:tr w:rsidR="00C56567" w:rsidTr="006A4FFB">
        <w:trPr>
          <w:cantSplit/>
          <w:tblHeader/>
        </w:trPr>
        <w:tc>
          <w:tcPr>
            <w:tcW w:w="9576" w:type="dxa"/>
            <w:gridSpan w:val="2"/>
            <w:shd w:val="clear" w:color="auto" w:fill="D9D9D9" w:themeFill="background1" w:themeFillShade="D9"/>
          </w:tcPr>
          <w:p w:rsidR="00C56567" w:rsidRDefault="00B931E6">
            <w:pPr>
              <w:keepNext/>
              <w:widowControl w:val="0"/>
              <w:spacing w:after="0" w:line="240" w:lineRule="auto"/>
              <w:jc w:val="center"/>
              <w:rPr>
                <w:rFonts w:cs="Arial"/>
              </w:rPr>
            </w:pPr>
            <w:r>
              <w:rPr>
                <w:b/>
              </w:rPr>
              <w:t>Fiscal Year Summary – HOME Match</w:t>
            </w:r>
          </w:p>
        </w:tc>
      </w:tr>
      <w:tr w:rsidR="00C56567">
        <w:trPr>
          <w:cantSplit/>
        </w:trPr>
        <w:tc>
          <w:tcPr>
            <w:tcW w:w="7193" w:type="dxa"/>
          </w:tcPr>
          <w:p w:rsidR="00C56567" w:rsidRDefault="00B931E6">
            <w:pPr>
              <w:keepNext/>
              <w:spacing w:after="0" w:line="240" w:lineRule="auto"/>
            </w:pPr>
            <w:r>
              <w:t>1. Excess match from prior Federal fiscal year</w:t>
            </w:r>
          </w:p>
        </w:tc>
        <w:tc>
          <w:tcPr>
            <w:tcW w:w="2383" w:type="dxa"/>
          </w:tcPr>
          <w:p w:rsidR="00C56567" w:rsidRDefault="00600B47">
            <w:pPr>
              <w:keepNext/>
              <w:widowControl w:val="0"/>
              <w:spacing w:after="0" w:line="240" w:lineRule="auto"/>
              <w:rPr>
                <w:rFonts w:cs="Arial"/>
              </w:rPr>
            </w:pPr>
            <w:r>
              <w:rPr>
                <w:rFonts w:cs="Arial"/>
              </w:rPr>
              <w:t>1,667,104</w:t>
            </w:r>
          </w:p>
        </w:tc>
      </w:tr>
      <w:tr w:rsidR="00C56567">
        <w:trPr>
          <w:cantSplit/>
        </w:trPr>
        <w:tc>
          <w:tcPr>
            <w:tcW w:w="7193" w:type="dxa"/>
          </w:tcPr>
          <w:p w:rsidR="00C56567" w:rsidRDefault="00B931E6">
            <w:pPr>
              <w:keepNext/>
              <w:spacing w:after="0" w:line="240" w:lineRule="auto"/>
            </w:pPr>
            <w:r>
              <w:t>2. Match contributed during current Federal fiscal year</w:t>
            </w:r>
          </w:p>
        </w:tc>
        <w:tc>
          <w:tcPr>
            <w:tcW w:w="2383" w:type="dxa"/>
          </w:tcPr>
          <w:p w:rsidR="00C56567" w:rsidRDefault="00600B47">
            <w:pPr>
              <w:keepNext/>
              <w:widowControl w:val="0"/>
              <w:spacing w:after="0" w:line="240" w:lineRule="auto"/>
              <w:rPr>
                <w:rFonts w:cs="Arial"/>
              </w:rPr>
            </w:pPr>
            <w:r>
              <w:rPr>
                <w:rFonts w:cs="Arial"/>
              </w:rPr>
              <w:t>119,100.96</w:t>
            </w:r>
          </w:p>
        </w:tc>
      </w:tr>
      <w:tr w:rsidR="00C56567">
        <w:trPr>
          <w:cantSplit/>
        </w:trPr>
        <w:tc>
          <w:tcPr>
            <w:tcW w:w="7193" w:type="dxa"/>
          </w:tcPr>
          <w:p w:rsidR="00C56567" w:rsidRDefault="00B931E6">
            <w:pPr>
              <w:keepNext/>
              <w:spacing w:after="0" w:line="240" w:lineRule="auto"/>
            </w:pPr>
            <w:r>
              <w:t xml:space="preserve">3 .Total match available for current Federal fiscal year (Line 1 plus Line 2) </w:t>
            </w:r>
          </w:p>
        </w:tc>
        <w:tc>
          <w:tcPr>
            <w:tcW w:w="2383" w:type="dxa"/>
          </w:tcPr>
          <w:p w:rsidR="00C56567" w:rsidRDefault="00600B47">
            <w:pPr>
              <w:keepNext/>
              <w:widowControl w:val="0"/>
              <w:spacing w:after="0" w:line="240" w:lineRule="auto"/>
              <w:rPr>
                <w:rFonts w:cs="Arial"/>
              </w:rPr>
            </w:pPr>
            <w:r>
              <w:rPr>
                <w:rFonts w:cs="Arial"/>
              </w:rPr>
              <w:t>1,786,204.96</w:t>
            </w:r>
          </w:p>
        </w:tc>
      </w:tr>
      <w:tr w:rsidR="00C56567">
        <w:trPr>
          <w:cantSplit/>
        </w:trPr>
        <w:tc>
          <w:tcPr>
            <w:tcW w:w="7193" w:type="dxa"/>
          </w:tcPr>
          <w:p w:rsidR="00C56567" w:rsidRDefault="00B931E6">
            <w:pPr>
              <w:keepNext/>
              <w:spacing w:after="0" w:line="240" w:lineRule="auto"/>
            </w:pPr>
            <w:r>
              <w:t>4. Match liability for current Federal fiscal year</w:t>
            </w:r>
          </w:p>
        </w:tc>
        <w:tc>
          <w:tcPr>
            <w:tcW w:w="2383" w:type="dxa"/>
          </w:tcPr>
          <w:p w:rsidR="00C56567" w:rsidRDefault="00600B47">
            <w:pPr>
              <w:keepNext/>
              <w:widowControl w:val="0"/>
              <w:spacing w:after="0" w:line="240" w:lineRule="auto"/>
              <w:rPr>
                <w:rFonts w:cs="Arial"/>
              </w:rPr>
            </w:pPr>
            <w:r>
              <w:rPr>
                <w:rFonts w:cs="Arial"/>
              </w:rPr>
              <w:t>82,756</w:t>
            </w:r>
          </w:p>
        </w:tc>
      </w:tr>
      <w:tr w:rsidR="00C56567">
        <w:trPr>
          <w:cantSplit/>
        </w:trPr>
        <w:tc>
          <w:tcPr>
            <w:tcW w:w="7193" w:type="dxa"/>
          </w:tcPr>
          <w:p w:rsidR="00C56567" w:rsidRDefault="00B931E6">
            <w:pPr>
              <w:keepNext/>
              <w:spacing w:after="0" w:line="240" w:lineRule="auto"/>
            </w:pPr>
            <w:r>
              <w:t>5. Excess match carried over to next Federal fiscal year (Line 3 minus Line 4)</w:t>
            </w:r>
          </w:p>
        </w:tc>
        <w:tc>
          <w:tcPr>
            <w:tcW w:w="2383" w:type="dxa"/>
          </w:tcPr>
          <w:p w:rsidR="00C56567" w:rsidRDefault="00600B47">
            <w:pPr>
              <w:keepNext/>
              <w:widowControl w:val="0"/>
              <w:spacing w:after="0" w:line="240" w:lineRule="auto"/>
              <w:rPr>
                <w:rFonts w:cs="Arial"/>
              </w:rPr>
            </w:pPr>
            <w:r>
              <w:rPr>
                <w:rFonts w:cs="Arial"/>
              </w:rPr>
              <w:t>1,703,448.96</w:t>
            </w:r>
          </w:p>
        </w:tc>
      </w:tr>
    </w:tbl>
    <w:p w:rsidR="00C56567" w:rsidRDefault="00B931E6">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FB21A6">
        <w:rPr>
          <w:rFonts w:asciiTheme="minorHAnsi" w:hAnsiTheme="minorHAnsi"/>
          <w:noProof/>
        </w:rPr>
        <w:t>5</w:t>
      </w:r>
      <w:r>
        <w:rPr>
          <w:rFonts w:asciiTheme="minorHAnsi" w:hAnsiTheme="minorHAnsi"/>
        </w:rPr>
        <w:fldChar w:fldCharType="end"/>
      </w:r>
      <w:r>
        <w:rPr>
          <w:rFonts w:asciiTheme="minorHAnsi" w:hAnsiTheme="minorHAnsi"/>
        </w:rPr>
        <w:t xml:space="preserve"> – Fiscal Year Summary - HOME Match Report</w:t>
      </w:r>
    </w:p>
    <w:p w:rsidR="00C56567" w:rsidRDefault="00C56567">
      <w:pPr>
        <w:widowControl w:val="0"/>
        <w:spacing w:line="204" w:lineRule="auto"/>
        <w:rPr>
          <w:rFonts w:cs="Arial"/>
        </w:rPr>
      </w:pPr>
    </w:p>
    <w:p w:rsidR="00C56567" w:rsidRDefault="00C56567">
      <w:pPr>
        <w:widowControl w:val="0"/>
        <w:spacing w:line="204" w:lineRule="auto"/>
        <w:rPr>
          <w:rFonts w:cs="Arial"/>
        </w:rPr>
      </w:pPr>
    </w:p>
    <w:p w:rsidR="00C56567" w:rsidRDefault="00C56567">
      <w:pPr>
        <w:keepNext/>
        <w:spacing w:after="0" w:line="240" w:lineRule="auto"/>
        <w:rPr>
          <w:b/>
          <w:sz w:val="24"/>
          <w:szCs w:val="24"/>
        </w:rPr>
        <w:sectPr w:rsidR="00C56567">
          <w:pgSz w:w="12240" w:h="15840" w:code="1"/>
          <w:pgMar w:top="1440" w:right="1440" w:bottom="1440" w:left="1440" w:header="720" w:footer="720" w:gutter="0"/>
          <w:cols w:space="720"/>
          <w:docGrid w:linePitch="360"/>
        </w:sectPr>
      </w:pPr>
    </w:p>
    <w:tbl>
      <w:tblPr>
        <w:tblW w:w="5102" w:type="pct"/>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734"/>
        <w:gridCol w:w="1465"/>
        <w:gridCol w:w="1465"/>
        <w:gridCol w:w="1465"/>
        <w:gridCol w:w="1466"/>
        <w:gridCol w:w="1466"/>
        <w:gridCol w:w="1466"/>
        <w:gridCol w:w="1466"/>
        <w:gridCol w:w="1466"/>
      </w:tblGrid>
      <w:tr w:rsidR="00C56567" w:rsidTr="00A76527">
        <w:trPr>
          <w:cantSplit/>
          <w:tblHeader/>
        </w:trPr>
        <w:tc>
          <w:tcPr>
            <w:tcW w:w="13460" w:type="dxa"/>
            <w:gridSpan w:val="9"/>
            <w:shd w:val="clear" w:color="auto" w:fill="D9D9D9" w:themeFill="background1" w:themeFillShade="D9"/>
          </w:tcPr>
          <w:p w:rsidR="00C56567" w:rsidRDefault="00B931E6">
            <w:pPr>
              <w:keepNext/>
              <w:widowControl w:val="0"/>
              <w:spacing w:after="0" w:line="240" w:lineRule="auto"/>
              <w:jc w:val="center"/>
              <w:rPr>
                <w:b/>
              </w:rPr>
            </w:pPr>
            <w:r>
              <w:rPr>
                <w:b/>
              </w:rPr>
              <w:t>Match Contribution for the Federal Fiscal Year</w:t>
            </w:r>
          </w:p>
        </w:tc>
      </w:tr>
      <w:tr w:rsidR="00C56567" w:rsidTr="00A76527">
        <w:trPr>
          <w:cantSplit/>
          <w:trHeight w:val="1241"/>
          <w:tblHeader/>
        </w:trPr>
        <w:tc>
          <w:tcPr>
            <w:tcW w:w="1735" w:type="dxa"/>
            <w:shd w:val="clear" w:color="auto" w:fill="D9D9D9" w:themeFill="background1" w:themeFillShade="D9"/>
          </w:tcPr>
          <w:p w:rsidR="00C56567" w:rsidRDefault="00B931E6">
            <w:pPr>
              <w:keepNext/>
              <w:widowControl w:val="0"/>
              <w:spacing w:after="0" w:line="240" w:lineRule="auto"/>
              <w:jc w:val="center"/>
              <w:rPr>
                <w:b/>
                <w:sz w:val="20"/>
                <w:szCs w:val="20"/>
              </w:rPr>
            </w:pPr>
            <w:r>
              <w:rPr>
                <w:b/>
                <w:sz w:val="20"/>
                <w:szCs w:val="20"/>
              </w:rPr>
              <w:t>Project No. or Other ID</w:t>
            </w:r>
          </w:p>
        </w:tc>
        <w:tc>
          <w:tcPr>
            <w:tcW w:w="1465" w:type="dxa"/>
            <w:shd w:val="clear" w:color="auto" w:fill="D9D9D9" w:themeFill="background1" w:themeFillShade="D9"/>
          </w:tcPr>
          <w:p w:rsidR="00C56567" w:rsidRDefault="00B931E6">
            <w:pPr>
              <w:keepNext/>
              <w:widowControl w:val="0"/>
              <w:spacing w:after="0" w:line="240" w:lineRule="auto"/>
              <w:jc w:val="center"/>
              <w:rPr>
                <w:b/>
                <w:sz w:val="20"/>
                <w:szCs w:val="20"/>
              </w:rPr>
            </w:pPr>
            <w:r>
              <w:rPr>
                <w:b/>
                <w:sz w:val="20"/>
                <w:szCs w:val="20"/>
              </w:rPr>
              <w:t>Date of Contribution</w:t>
            </w:r>
          </w:p>
        </w:tc>
        <w:tc>
          <w:tcPr>
            <w:tcW w:w="1465" w:type="dxa"/>
            <w:shd w:val="clear" w:color="auto" w:fill="D9D9D9" w:themeFill="background1" w:themeFillShade="D9"/>
          </w:tcPr>
          <w:p w:rsidR="00C56567" w:rsidRDefault="00B931E6">
            <w:pPr>
              <w:keepNext/>
              <w:widowControl w:val="0"/>
              <w:spacing w:after="0" w:line="240" w:lineRule="auto"/>
              <w:jc w:val="center"/>
              <w:rPr>
                <w:b/>
                <w:sz w:val="20"/>
                <w:szCs w:val="20"/>
              </w:rPr>
            </w:pPr>
            <w:r>
              <w:rPr>
                <w:b/>
                <w:sz w:val="20"/>
                <w:szCs w:val="20"/>
              </w:rPr>
              <w:t>Cash</w:t>
            </w:r>
          </w:p>
          <w:p w:rsidR="00C56567" w:rsidRDefault="00B931E6">
            <w:pPr>
              <w:keepNext/>
              <w:widowControl w:val="0"/>
              <w:spacing w:after="0" w:line="240" w:lineRule="auto"/>
              <w:jc w:val="center"/>
              <w:rPr>
                <w:b/>
                <w:sz w:val="20"/>
                <w:szCs w:val="20"/>
              </w:rPr>
            </w:pPr>
            <w:r>
              <w:rPr>
                <w:b/>
                <w:sz w:val="20"/>
                <w:szCs w:val="20"/>
              </w:rPr>
              <w:t>(non-Federal sources)</w:t>
            </w:r>
          </w:p>
        </w:tc>
        <w:tc>
          <w:tcPr>
            <w:tcW w:w="1465" w:type="dxa"/>
            <w:shd w:val="clear" w:color="auto" w:fill="D9D9D9" w:themeFill="background1" w:themeFillShade="D9"/>
          </w:tcPr>
          <w:p w:rsidR="00C56567" w:rsidRDefault="00B931E6">
            <w:pPr>
              <w:keepNext/>
              <w:widowControl w:val="0"/>
              <w:spacing w:after="0" w:line="240" w:lineRule="auto"/>
              <w:jc w:val="center"/>
              <w:rPr>
                <w:b/>
                <w:sz w:val="20"/>
                <w:szCs w:val="20"/>
              </w:rPr>
            </w:pPr>
            <w:r>
              <w:rPr>
                <w:b/>
                <w:sz w:val="20"/>
                <w:szCs w:val="20"/>
              </w:rPr>
              <w:t>Foregone Taxes, Fees, Charges</w:t>
            </w:r>
          </w:p>
        </w:tc>
        <w:tc>
          <w:tcPr>
            <w:tcW w:w="1466" w:type="dxa"/>
            <w:shd w:val="clear" w:color="auto" w:fill="D9D9D9" w:themeFill="background1" w:themeFillShade="D9"/>
          </w:tcPr>
          <w:p w:rsidR="00C56567" w:rsidRDefault="00B931E6">
            <w:pPr>
              <w:keepNext/>
              <w:widowControl w:val="0"/>
              <w:spacing w:after="0" w:line="240" w:lineRule="auto"/>
              <w:jc w:val="center"/>
              <w:rPr>
                <w:b/>
                <w:sz w:val="20"/>
                <w:szCs w:val="20"/>
              </w:rPr>
            </w:pPr>
            <w:r>
              <w:rPr>
                <w:b/>
                <w:sz w:val="20"/>
                <w:szCs w:val="20"/>
              </w:rPr>
              <w:t>Appraised Land/Real Property</w:t>
            </w:r>
          </w:p>
        </w:tc>
        <w:tc>
          <w:tcPr>
            <w:tcW w:w="1466" w:type="dxa"/>
            <w:shd w:val="clear" w:color="auto" w:fill="D9D9D9" w:themeFill="background1" w:themeFillShade="D9"/>
          </w:tcPr>
          <w:p w:rsidR="00C56567" w:rsidRDefault="00B931E6">
            <w:pPr>
              <w:keepNext/>
              <w:widowControl w:val="0"/>
              <w:spacing w:after="0" w:line="240" w:lineRule="auto"/>
              <w:jc w:val="center"/>
              <w:rPr>
                <w:b/>
                <w:sz w:val="20"/>
                <w:szCs w:val="20"/>
              </w:rPr>
            </w:pPr>
            <w:r>
              <w:rPr>
                <w:b/>
                <w:sz w:val="20"/>
                <w:szCs w:val="20"/>
              </w:rPr>
              <w:t>Required Infrastructure</w:t>
            </w:r>
          </w:p>
        </w:tc>
        <w:tc>
          <w:tcPr>
            <w:tcW w:w="1466" w:type="dxa"/>
            <w:shd w:val="clear" w:color="auto" w:fill="D9D9D9" w:themeFill="background1" w:themeFillShade="D9"/>
          </w:tcPr>
          <w:p w:rsidR="00C56567" w:rsidRDefault="00B931E6">
            <w:pPr>
              <w:keepNext/>
              <w:widowControl w:val="0"/>
              <w:spacing w:after="0" w:line="240" w:lineRule="auto"/>
              <w:jc w:val="center"/>
              <w:rPr>
                <w:b/>
                <w:sz w:val="20"/>
                <w:szCs w:val="20"/>
              </w:rPr>
            </w:pPr>
            <w:r>
              <w:rPr>
                <w:b/>
                <w:sz w:val="20"/>
                <w:szCs w:val="20"/>
              </w:rPr>
              <w:t>Site Preparation, Construction Materials, Donated labor</w:t>
            </w:r>
          </w:p>
        </w:tc>
        <w:tc>
          <w:tcPr>
            <w:tcW w:w="1466" w:type="dxa"/>
            <w:shd w:val="clear" w:color="auto" w:fill="D9D9D9" w:themeFill="background1" w:themeFillShade="D9"/>
          </w:tcPr>
          <w:p w:rsidR="00C56567" w:rsidRDefault="00B931E6">
            <w:pPr>
              <w:keepNext/>
              <w:widowControl w:val="0"/>
              <w:spacing w:after="0" w:line="240" w:lineRule="auto"/>
              <w:jc w:val="center"/>
              <w:rPr>
                <w:b/>
                <w:sz w:val="20"/>
                <w:szCs w:val="20"/>
              </w:rPr>
            </w:pPr>
            <w:r>
              <w:rPr>
                <w:b/>
                <w:sz w:val="20"/>
                <w:szCs w:val="20"/>
              </w:rPr>
              <w:t>Bond Financing</w:t>
            </w:r>
          </w:p>
        </w:tc>
        <w:tc>
          <w:tcPr>
            <w:tcW w:w="1466" w:type="dxa"/>
            <w:shd w:val="clear" w:color="auto" w:fill="D9D9D9" w:themeFill="background1" w:themeFillShade="D9"/>
          </w:tcPr>
          <w:p w:rsidR="00C56567" w:rsidRDefault="00B931E6">
            <w:pPr>
              <w:keepNext/>
              <w:widowControl w:val="0"/>
              <w:spacing w:after="0" w:line="240" w:lineRule="auto"/>
              <w:jc w:val="center"/>
              <w:rPr>
                <w:b/>
                <w:sz w:val="20"/>
                <w:szCs w:val="20"/>
              </w:rPr>
            </w:pPr>
            <w:r>
              <w:rPr>
                <w:b/>
                <w:sz w:val="20"/>
                <w:szCs w:val="20"/>
              </w:rPr>
              <w:t>Total Match</w:t>
            </w:r>
          </w:p>
        </w:tc>
      </w:tr>
      <w:tr w:rsidR="00B93EC1" w:rsidTr="00B93EC1">
        <w:trPr>
          <w:cantSplit/>
        </w:trPr>
        <w:tc>
          <w:tcPr>
            <w:tcW w:w="1735" w:type="dxa"/>
          </w:tcPr>
          <w:p w:rsidR="00B93EC1" w:rsidRDefault="00B93EC1">
            <w:pPr>
              <w:keepNext/>
              <w:widowControl w:val="0"/>
              <w:spacing w:after="0" w:line="240" w:lineRule="auto"/>
              <w:rPr>
                <w:sz w:val="20"/>
                <w:szCs w:val="20"/>
              </w:rPr>
            </w:pPr>
            <w:r>
              <w:rPr>
                <w:sz w:val="20"/>
                <w:szCs w:val="20"/>
              </w:rPr>
              <w:t>Habitat-MME</w:t>
            </w:r>
          </w:p>
        </w:tc>
        <w:tc>
          <w:tcPr>
            <w:tcW w:w="1465" w:type="dxa"/>
          </w:tcPr>
          <w:p w:rsidR="00B93EC1" w:rsidRDefault="00B93EC1">
            <w:pPr>
              <w:keepNext/>
              <w:widowControl w:val="0"/>
              <w:spacing w:after="0" w:line="240" w:lineRule="auto"/>
              <w:rPr>
                <w:sz w:val="20"/>
                <w:szCs w:val="20"/>
              </w:rPr>
            </w:pPr>
            <w:r>
              <w:rPr>
                <w:sz w:val="20"/>
                <w:szCs w:val="20"/>
              </w:rPr>
              <w:t>2016</w:t>
            </w:r>
          </w:p>
        </w:tc>
        <w:tc>
          <w:tcPr>
            <w:tcW w:w="1465" w:type="dxa"/>
          </w:tcPr>
          <w:p w:rsidR="00B93EC1" w:rsidRDefault="00B93EC1">
            <w:pPr>
              <w:keepNext/>
              <w:widowControl w:val="0"/>
              <w:spacing w:after="0" w:line="240" w:lineRule="auto"/>
              <w:rPr>
                <w:sz w:val="20"/>
                <w:szCs w:val="20"/>
              </w:rPr>
            </w:pPr>
          </w:p>
        </w:tc>
        <w:tc>
          <w:tcPr>
            <w:tcW w:w="1465" w:type="dxa"/>
          </w:tcPr>
          <w:p w:rsidR="00B93EC1" w:rsidRDefault="00B93EC1">
            <w:pPr>
              <w:keepNext/>
              <w:widowControl w:val="0"/>
              <w:spacing w:after="0" w:line="240" w:lineRule="auto"/>
              <w:rPr>
                <w:sz w:val="20"/>
                <w:szCs w:val="20"/>
              </w:rPr>
            </w:pPr>
          </w:p>
        </w:tc>
        <w:tc>
          <w:tcPr>
            <w:tcW w:w="1466" w:type="dxa"/>
          </w:tcPr>
          <w:p w:rsidR="00B93EC1" w:rsidRDefault="00B93EC1">
            <w:pPr>
              <w:keepNext/>
              <w:widowControl w:val="0"/>
              <w:spacing w:after="0" w:line="240" w:lineRule="auto"/>
              <w:rPr>
                <w:sz w:val="20"/>
                <w:szCs w:val="20"/>
              </w:rPr>
            </w:pPr>
          </w:p>
        </w:tc>
        <w:tc>
          <w:tcPr>
            <w:tcW w:w="1466" w:type="dxa"/>
          </w:tcPr>
          <w:p w:rsidR="00B93EC1" w:rsidRDefault="00B93EC1">
            <w:pPr>
              <w:keepNext/>
              <w:widowControl w:val="0"/>
              <w:spacing w:after="0" w:line="240" w:lineRule="auto"/>
              <w:rPr>
                <w:sz w:val="20"/>
                <w:szCs w:val="20"/>
              </w:rPr>
            </w:pPr>
          </w:p>
        </w:tc>
        <w:tc>
          <w:tcPr>
            <w:tcW w:w="1466" w:type="dxa"/>
          </w:tcPr>
          <w:p w:rsidR="00B93EC1" w:rsidRDefault="00B93EC1">
            <w:pPr>
              <w:keepNext/>
              <w:widowControl w:val="0"/>
              <w:spacing w:after="0" w:line="240" w:lineRule="auto"/>
              <w:rPr>
                <w:sz w:val="20"/>
                <w:szCs w:val="20"/>
              </w:rPr>
            </w:pPr>
            <w:r>
              <w:rPr>
                <w:sz w:val="20"/>
                <w:szCs w:val="20"/>
              </w:rPr>
              <w:t>3,600</w:t>
            </w:r>
          </w:p>
        </w:tc>
        <w:tc>
          <w:tcPr>
            <w:tcW w:w="1466" w:type="dxa"/>
          </w:tcPr>
          <w:p w:rsidR="00B93EC1" w:rsidRDefault="00B93EC1">
            <w:pPr>
              <w:keepNext/>
              <w:widowControl w:val="0"/>
              <w:spacing w:after="0" w:line="240" w:lineRule="auto"/>
              <w:rPr>
                <w:sz w:val="20"/>
                <w:szCs w:val="20"/>
              </w:rPr>
            </w:pPr>
          </w:p>
        </w:tc>
        <w:tc>
          <w:tcPr>
            <w:tcW w:w="1466" w:type="dxa"/>
          </w:tcPr>
          <w:p w:rsidR="00B93EC1" w:rsidRDefault="00B93EC1">
            <w:pPr>
              <w:keepNext/>
              <w:widowControl w:val="0"/>
              <w:spacing w:after="0" w:line="240" w:lineRule="auto"/>
              <w:rPr>
                <w:sz w:val="20"/>
                <w:szCs w:val="20"/>
              </w:rPr>
            </w:pPr>
            <w:r>
              <w:rPr>
                <w:sz w:val="20"/>
                <w:szCs w:val="20"/>
              </w:rPr>
              <w:t>$3,600</w:t>
            </w:r>
          </w:p>
        </w:tc>
      </w:tr>
      <w:tr w:rsidR="00C56567" w:rsidTr="00B93EC1">
        <w:trPr>
          <w:cantSplit/>
        </w:trPr>
        <w:tc>
          <w:tcPr>
            <w:tcW w:w="1735" w:type="dxa"/>
          </w:tcPr>
          <w:p w:rsidR="00C56567" w:rsidRDefault="00B93EC1">
            <w:pPr>
              <w:keepNext/>
              <w:widowControl w:val="0"/>
              <w:spacing w:after="0" w:line="240" w:lineRule="auto"/>
              <w:rPr>
                <w:sz w:val="20"/>
                <w:szCs w:val="20"/>
              </w:rPr>
            </w:pPr>
            <w:r>
              <w:rPr>
                <w:sz w:val="20"/>
                <w:szCs w:val="20"/>
              </w:rPr>
              <w:t>Habitat-Mirrors</w:t>
            </w:r>
          </w:p>
        </w:tc>
        <w:tc>
          <w:tcPr>
            <w:tcW w:w="1465" w:type="dxa"/>
          </w:tcPr>
          <w:p w:rsidR="00C56567" w:rsidRDefault="00B93EC1">
            <w:pPr>
              <w:keepNext/>
              <w:widowControl w:val="0"/>
              <w:spacing w:after="0" w:line="240" w:lineRule="auto"/>
              <w:rPr>
                <w:sz w:val="20"/>
                <w:szCs w:val="20"/>
              </w:rPr>
            </w:pPr>
            <w:r>
              <w:rPr>
                <w:sz w:val="20"/>
                <w:szCs w:val="20"/>
              </w:rPr>
              <w:t>2016</w:t>
            </w:r>
          </w:p>
        </w:tc>
        <w:tc>
          <w:tcPr>
            <w:tcW w:w="1465" w:type="dxa"/>
          </w:tcPr>
          <w:p w:rsidR="00C56567" w:rsidRDefault="00C56567">
            <w:pPr>
              <w:keepNext/>
              <w:widowControl w:val="0"/>
              <w:spacing w:after="0" w:line="240" w:lineRule="auto"/>
              <w:rPr>
                <w:sz w:val="20"/>
                <w:szCs w:val="20"/>
              </w:rPr>
            </w:pPr>
          </w:p>
        </w:tc>
        <w:tc>
          <w:tcPr>
            <w:tcW w:w="1465" w:type="dxa"/>
          </w:tcPr>
          <w:p w:rsidR="00C56567" w:rsidRDefault="00C56567">
            <w:pPr>
              <w:keepNext/>
              <w:widowControl w:val="0"/>
              <w:spacing w:after="0" w:line="240" w:lineRule="auto"/>
              <w:rPr>
                <w:sz w:val="20"/>
                <w:szCs w:val="20"/>
              </w:rPr>
            </w:pPr>
          </w:p>
        </w:tc>
        <w:tc>
          <w:tcPr>
            <w:tcW w:w="1466" w:type="dxa"/>
          </w:tcPr>
          <w:p w:rsidR="00C56567" w:rsidRDefault="00C56567">
            <w:pPr>
              <w:keepNext/>
              <w:widowControl w:val="0"/>
              <w:spacing w:after="0" w:line="240" w:lineRule="auto"/>
              <w:rPr>
                <w:sz w:val="20"/>
                <w:szCs w:val="20"/>
              </w:rPr>
            </w:pPr>
          </w:p>
        </w:tc>
        <w:tc>
          <w:tcPr>
            <w:tcW w:w="1466" w:type="dxa"/>
          </w:tcPr>
          <w:p w:rsidR="00C56567" w:rsidRDefault="00C56567">
            <w:pPr>
              <w:keepNext/>
              <w:widowControl w:val="0"/>
              <w:spacing w:after="0" w:line="240" w:lineRule="auto"/>
              <w:rPr>
                <w:sz w:val="20"/>
                <w:szCs w:val="20"/>
              </w:rPr>
            </w:pPr>
          </w:p>
        </w:tc>
        <w:tc>
          <w:tcPr>
            <w:tcW w:w="1466" w:type="dxa"/>
          </w:tcPr>
          <w:p w:rsidR="00C56567" w:rsidRDefault="00B93EC1">
            <w:pPr>
              <w:keepNext/>
              <w:widowControl w:val="0"/>
              <w:spacing w:after="0" w:line="240" w:lineRule="auto"/>
              <w:rPr>
                <w:sz w:val="20"/>
                <w:szCs w:val="20"/>
              </w:rPr>
            </w:pPr>
            <w:r>
              <w:rPr>
                <w:sz w:val="20"/>
                <w:szCs w:val="20"/>
              </w:rPr>
              <w:t>1,400</w:t>
            </w:r>
          </w:p>
        </w:tc>
        <w:tc>
          <w:tcPr>
            <w:tcW w:w="1466" w:type="dxa"/>
          </w:tcPr>
          <w:p w:rsidR="00C56567" w:rsidRDefault="00C56567">
            <w:pPr>
              <w:keepNext/>
              <w:widowControl w:val="0"/>
              <w:spacing w:after="0" w:line="240" w:lineRule="auto"/>
              <w:rPr>
                <w:sz w:val="20"/>
                <w:szCs w:val="20"/>
              </w:rPr>
            </w:pPr>
          </w:p>
        </w:tc>
        <w:tc>
          <w:tcPr>
            <w:tcW w:w="1466" w:type="dxa"/>
          </w:tcPr>
          <w:p w:rsidR="00C56567" w:rsidRDefault="00B93EC1">
            <w:pPr>
              <w:keepNext/>
              <w:widowControl w:val="0"/>
              <w:spacing w:after="0" w:line="240" w:lineRule="auto"/>
              <w:rPr>
                <w:sz w:val="20"/>
                <w:szCs w:val="20"/>
              </w:rPr>
            </w:pPr>
            <w:r>
              <w:rPr>
                <w:sz w:val="20"/>
                <w:szCs w:val="20"/>
              </w:rPr>
              <w:t>$1,400</w:t>
            </w:r>
          </w:p>
        </w:tc>
      </w:tr>
      <w:tr w:rsidR="00B93EC1" w:rsidTr="00B93EC1">
        <w:trPr>
          <w:cantSplit/>
        </w:trPr>
        <w:tc>
          <w:tcPr>
            <w:tcW w:w="1735" w:type="dxa"/>
          </w:tcPr>
          <w:p w:rsidR="00B93EC1" w:rsidRDefault="00B93EC1">
            <w:pPr>
              <w:keepNext/>
              <w:widowControl w:val="0"/>
              <w:spacing w:after="0" w:line="240" w:lineRule="auto"/>
              <w:rPr>
                <w:sz w:val="20"/>
                <w:szCs w:val="20"/>
              </w:rPr>
            </w:pPr>
            <w:r>
              <w:rPr>
                <w:sz w:val="20"/>
                <w:szCs w:val="20"/>
              </w:rPr>
              <w:t>Habitat-Appraisals</w:t>
            </w:r>
          </w:p>
        </w:tc>
        <w:tc>
          <w:tcPr>
            <w:tcW w:w="1465" w:type="dxa"/>
          </w:tcPr>
          <w:p w:rsidR="00B93EC1" w:rsidRDefault="00B93EC1">
            <w:pPr>
              <w:keepNext/>
              <w:widowControl w:val="0"/>
              <w:spacing w:after="0" w:line="240" w:lineRule="auto"/>
              <w:rPr>
                <w:sz w:val="20"/>
                <w:szCs w:val="20"/>
              </w:rPr>
            </w:pPr>
            <w:r>
              <w:rPr>
                <w:sz w:val="20"/>
                <w:szCs w:val="20"/>
              </w:rPr>
              <w:t>2016</w:t>
            </w:r>
          </w:p>
        </w:tc>
        <w:tc>
          <w:tcPr>
            <w:tcW w:w="1465" w:type="dxa"/>
          </w:tcPr>
          <w:p w:rsidR="00B93EC1" w:rsidRDefault="00B93EC1">
            <w:pPr>
              <w:keepNext/>
              <w:widowControl w:val="0"/>
              <w:spacing w:after="0" w:line="240" w:lineRule="auto"/>
              <w:rPr>
                <w:sz w:val="20"/>
                <w:szCs w:val="20"/>
              </w:rPr>
            </w:pPr>
          </w:p>
        </w:tc>
        <w:tc>
          <w:tcPr>
            <w:tcW w:w="1465" w:type="dxa"/>
          </w:tcPr>
          <w:p w:rsidR="00B93EC1" w:rsidRDefault="00B93EC1" w:rsidP="00B93EC1">
            <w:pPr>
              <w:keepNext/>
              <w:widowControl w:val="0"/>
              <w:spacing w:after="0" w:line="240" w:lineRule="auto"/>
              <w:rPr>
                <w:sz w:val="20"/>
                <w:szCs w:val="20"/>
              </w:rPr>
            </w:pPr>
            <w:r>
              <w:rPr>
                <w:sz w:val="20"/>
                <w:szCs w:val="20"/>
              </w:rPr>
              <w:t>$1360</w:t>
            </w:r>
          </w:p>
        </w:tc>
        <w:tc>
          <w:tcPr>
            <w:tcW w:w="1466" w:type="dxa"/>
          </w:tcPr>
          <w:p w:rsidR="00B93EC1" w:rsidRDefault="00B93EC1">
            <w:pPr>
              <w:keepNext/>
              <w:widowControl w:val="0"/>
              <w:spacing w:after="0" w:line="240" w:lineRule="auto"/>
              <w:rPr>
                <w:sz w:val="20"/>
                <w:szCs w:val="20"/>
              </w:rPr>
            </w:pPr>
          </w:p>
        </w:tc>
        <w:tc>
          <w:tcPr>
            <w:tcW w:w="1466" w:type="dxa"/>
          </w:tcPr>
          <w:p w:rsidR="00B93EC1" w:rsidRDefault="00B93EC1">
            <w:pPr>
              <w:keepNext/>
              <w:widowControl w:val="0"/>
              <w:spacing w:after="0" w:line="240" w:lineRule="auto"/>
              <w:rPr>
                <w:sz w:val="20"/>
                <w:szCs w:val="20"/>
              </w:rPr>
            </w:pPr>
          </w:p>
        </w:tc>
        <w:tc>
          <w:tcPr>
            <w:tcW w:w="1466" w:type="dxa"/>
          </w:tcPr>
          <w:p w:rsidR="00B93EC1" w:rsidRDefault="00B93EC1">
            <w:pPr>
              <w:keepNext/>
              <w:widowControl w:val="0"/>
              <w:spacing w:after="0" w:line="240" w:lineRule="auto"/>
              <w:rPr>
                <w:sz w:val="20"/>
                <w:szCs w:val="20"/>
              </w:rPr>
            </w:pPr>
          </w:p>
        </w:tc>
        <w:tc>
          <w:tcPr>
            <w:tcW w:w="1466" w:type="dxa"/>
          </w:tcPr>
          <w:p w:rsidR="00B93EC1" w:rsidRDefault="00B93EC1">
            <w:pPr>
              <w:keepNext/>
              <w:widowControl w:val="0"/>
              <w:spacing w:after="0" w:line="240" w:lineRule="auto"/>
              <w:rPr>
                <w:sz w:val="20"/>
                <w:szCs w:val="20"/>
              </w:rPr>
            </w:pPr>
          </w:p>
        </w:tc>
        <w:tc>
          <w:tcPr>
            <w:tcW w:w="1466" w:type="dxa"/>
          </w:tcPr>
          <w:p w:rsidR="00B93EC1" w:rsidRDefault="00B93EC1" w:rsidP="00B93EC1">
            <w:pPr>
              <w:keepNext/>
              <w:widowControl w:val="0"/>
              <w:spacing w:after="0" w:line="240" w:lineRule="auto"/>
              <w:rPr>
                <w:sz w:val="20"/>
                <w:szCs w:val="20"/>
              </w:rPr>
            </w:pPr>
            <w:r>
              <w:rPr>
                <w:sz w:val="20"/>
                <w:szCs w:val="20"/>
              </w:rPr>
              <w:t>$1,360</w:t>
            </w:r>
          </w:p>
        </w:tc>
      </w:tr>
      <w:tr w:rsidR="00B93EC1" w:rsidTr="00B93EC1">
        <w:trPr>
          <w:cantSplit/>
        </w:trPr>
        <w:tc>
          <w:tcPr>
            <w:tcW w:w="1735" w:type="dxa"/>
          </w:tcPr>
          <w:p w:rsidR="00B93EC1" w:rsidRDefault="00B93EC1">
            <w:pPr>
              <w:keepNext/>
              <w:widowControl w:val="0"/>
              <w:spacing w:after="0" w:line="240" w:lineRule="auto"/>
              <w:rPr>
                <w:sz w:val="20"/>
                <w:szCs w:val="20"/>
              </w:rPr>
            </w:pPr>
            <w:r>
              <w:rPr>
                <w:sz w:val="20"/>
                <w:szCs w:val="20"/>
              </w:rPr>
              <w:t>Whirlpool Corp.-Stove/Fridge</w:t>
            </w:r>
          </w:p>
        </w:tc>
        <w:tc>
          <w:tcPr>
            <w:tcW w:w="1465" w:type="dxa"/>
          </w:tcPr>
          <w:p w:rsidR="00B93EC1" w:rsidRDefault="00B93EC1">
            <w:pPr>
              <w:keepNext/>
              <w:widowControl w:val="0"/>
              <w:spacing w:after="0" w:line="240" w:lineRule="auto"/>
              <w:rPr>
                <w:sz w:val="20"/>
                <w:szCs w:val="20"/>
              </w:rPr>
            </w:pPr>
            <w:r>
              <w:rPr>
                <w:sz w:val="20"/>
                <w:szCs w:val="20"/>
              </w:rPr>
              <w:t>2016</w:t>
            </w:r>
          </w:p>
        </w:tc>
        <w:tc>
          <w:tcPr>
            <w:tcW w:w="1465" w:type="dxa"/>
          </w:tcPr>
          <w:p w:rsidR="00B93EC1" w:rsidRDefault="00B93EC1">
            <w:pPr>
              <w:keepNext/>
              <w:widowControl w:val="0"/>
              <w:spacing w:after="0" w:line="240" w:lineRule="auto"/>
              <w:rPr>
                <w:sz w:val="20"/>
                <w:szCs w:val="20"/>
              </w:rPr>
            </w:pPr>
          </w:p>
        </w:tc>
        <w:tc>
          <w:tcPr>
            <w:tcW w:w="1465" w:type="dxa"/>
          </w:tcPr>
          <w:p w:rsidR="00B93EC1" w:rsidRDefault="00B93EC1">
            <w:pPr>
              <w:keepNext/>
              <w:widowControl w:val="0"/>
              <w:spacing w:after="0" w:line="240" w:lineRule="auto"/>
              <w:rPr>
                <w:sz w:val="20"/>
                <w:szCs w:val="20"/>
              </w:rPr>
            </w:pPr>
          </w:p>
        </w:tc>
        <w:tc>
          <w:tcPr>
            <w:tcW w:w="1466" w:type="dxa"/>
          </w:tcPr>
          <w:p w:rsidR="00B93EC1" w:rsidRDefault="00B93EC1">
            <w:pPr>
              <w:keepNext/>
              <w:widowControl w:val="0"/>
              <w:spacing w:after="0" w:line="240" w:lineRule="auto"/>
              <w:rPr>
                <w:sz w:val="20"/>
                <w:szCs w:val="20"/>
              </w:rPr>
            </w:pPr>
          </w:p>
        </w:tc>
        <w:tc>
          <w:tcPr>
            <w:tcW w:w="1466" w:type="dxa"/>
          </w:tcPr>
          <w:p w:rsidR="00B93EC1" w:rsidRDefault="00B93EC1">
            <w:pPr>
              <w:keepNext/>
              <w:widowControl w:val="0"/>
              <w:spacing w:after="0" w:line="240" w:lineRule="auto"/>
              <w:rPr>
                <w:sz w:val="20"/>
                <w:szCs w:val="20"/>
              </w:rPr>
            </w:pPr>
          </w:p>
        </w:tc>
        <w:tc>
          <w:tcPr>
            <w:tcW w:w="1466" w:type="dxa"/>
          </w:tcPr>
          <w:p w:rsidR="00B93EC1" w:rsidRDefault="00B93EC1">
            <w:pPr>
              <w:keepNext/>
              <w:widowControl w:val="0"/>
              <w:spacing w:after="0" w:line="240" w:lineRule="auto"/>
              <w:rPr>
                <w:sz w:val="20"/>
                <w:szCs w:val="20"/>
              </w:rPr>
            </w:pPr>
            <w:r>
              <w:rPr>
                <w:sz w:val="20"/>
                <w:szCs w:val="20"/>
              </w:rPr>
              <w:t>$3,600</w:t>
            </w:r>
          </w:p>
        </w:tc>
        <w:tc>
          <w:tcPr>
            <w:tcW w:w="1466" w:type="dxa"/>
          </w:tcPr>
          <w:p w:rsidR="00B93EC1" w:rsidRDefault="00B93EC1">
            <w:pPr>
              <w:keepNext/>
              <w:widowControl w:val="0"/>
              <w:spacing w:after="0" w:line="240" w:lineRule="auto"/>
              <w:rPr>
                <w:sz w:val="20"/>
                <w:szCs w:val="20"/>
              </w:rPr>
            </w:pPr>
          </w:p>
        </w:tc>
        <w:tc>
          <w:tcPr>
            <w:tcW w:w="1466" w:type="dxa"/>
          </w:tcPr>
          <w:p w:rsidR="00B93EC1" w:rsidRDefault="00B93EC1">
            <w:pPr>
              <w:keepNext/>
              <w:widowControl w:val="0"/>
              <w:spacing w:after="0" w:line="240" w:lineRule="auto"/>
              <w:rPr>
                <w:sz w:val="20"/>
                <w:szCs w:val="20"/>
              </w:rPr>
            </w:pPr>
            <w:r>
              <w:rPr>
                <w:sz w:val="20"/>
                <w:szCs w:val="20"/>
              </w:rPr>
              <w:t>$3,600</w:t>
            </w:r>
          </w:p>
        </w:tc>
      </w:tr>
      <w:tr w:rsidR="00B93EC1" w:rsidTr="00B93EC1">
        <w:trPr>
          <w:cantSplit/>
        </w:trPr>
        <w:tc>
          <w:tcPr>
            <w:tcW w:w="1735" w:type="dxa"/>
          </w:tcPr>
          <w:p w:rsidR="00B93EC1" w:rsidRDefault="00B93EC1">
            <w:pPr>
              <w:keepNext/>
              <w:widowControl w:val="0"/>
              <w:spacing w:after="0" w:line="240" w:lineRule="auto"/>
              <w:rPr>
                <w:sz w:val="20"/>
                <w:szCs w:val="20"/>
              </w:rPr>
            </w:pPr>
            <w:r>
              <w:rPr>
                <w:sz w:val="20"/>
                <w:szCs w:val="20"/>
              </w:rPr>
              <w:t>Square D-Panels Boxes</w:t>
            </w:r>
          </w:p>
        </w:tc>
        <w:tc>
          <w:tcPr>
            <w:tcW w:w="1465" w:type="dxa"/>
          </w:tcPr>
          <w:p w:rsidR="00B93EC1" w:rsidRDefault="00B93EC1">
            <w:pPr>
              <w:keepNext/>
              <w:widowControl w:val="0"/>
              <w:spacing w:after="0" w:line="240" w:lineRule="auto"/>
              <w:rPr>
                <w:sz w:val="20"/>
                <w:szCs w:val="20"/>
              </w:rPr>
            </w:pPr>
            <w:r>
              <w:rPr>
                <w:sz w:val="20"/>
                <w:szCs w:val="20"/>
              </w:rPr>
              <w:t>2016</w:t>
            </w:r>
          </w:p>
        </w:tc>
        <w:tc>
          <w:tcPr>
            <w:tcW w:w="1465" w:type="dxa"/>
          </w:tcPr>
          <w:p w:rsidR="00B93EC1" w:rsidRDefault="00B93EC1">
            <w:pPr>
              <w:keepNext/>
              <w:widowControl w:val="0"/>
              <w:spacing w:after="0" w:line="240" w:lineRule="auto"/>
              <w:rPr>
                <w:sz w:val="20"/>
                <w:szCs w:val="20"/>
              </w:rPr>
            </w:pPr>
          </w:p>
        </w:tc>
        <w:tc>
          <w:tcPr>
            <w:tcW w:w="1465" w:type="dxa"/>
          </w:tcPr>
          <w:p w:rsidR="00B93EC1" w:rsidRDefault="00B93EC1">
            <w:pPr>
              <w:keepNext/>
              <w:widowControl w:val="0"/>
              <w:spacing w:after="0" w:line="240" w:lineRule="auto"/>
              <w:rPr>
                <w:sz w:val="20"/>
                <w:szCs w:val="20"/>
              </w:rPr>
            </w:pPr>
          </w:p>
        </w:tc>
        <w:tc>
          <w:tcPr>
            <w:tcW w:w="1466" w:type="dxa"/>
          </w:tcPr>
          <w:p w:rsidR="00B93EC1" w:rsidRDefault="00B93EC1">
            <w:pPr>
              <w:keepNext/>
              <w:widowControl w:val="0"/>
              <w:spacing w:after="0" w:line="240" w:lineRule="auto"/>
              <w:rPr>
                <w:sz w:val="20"/>
                <w:szCs w:val="20"/>
              </w:rPr>
            </w:pPr>
          </w:p>
        </w:tc>
        <w:tc>
          <w:tcPr>
            <w:tcW w:w="1466" w:type="dxa"/>
          </w:tcPr>
          <w:p w:rsidR="00B93EC1" w:rsidRDefault="00B93EC1">
            <w:pPr>
              <w:keepNext/>
              <w:widowControl w:val="0"/>
              <w:spacing w:after="0" w:line="240" w:lineRule="auto"/>
              <w:rPr>
                <w:sz w:val="20"/>
                <w:szCs w:val="20"/>
              </w:rPr>
            </w:pPr>
          </w:p>
        </w:tc>
        <w:tc>
          <w:tcPr>
            <w:tcW w:w="1466" w:type="dxa"/>
          </w:tcPr>
          <w:p w:rsidR="00B93EC1" w:rsidRDefault="00B93EC1">
            <w:pPr>
              <w:keepNext/>
              <w:widowControl w:val="0"/>
              <w:spacing w:after="0" w:line="240" w:lineRule="auto"/>
              <w:rPr>
                <w:sz w:val="20"/>
                <w:szCs w:val="20"/>
              </w:rPr>
            </w:pPr>
            <w:r>
              <w:rPr>
                <w:sz w:val="20"/>
                <w:szCs w:val="20"/>
              </w:rPr>
              <w:t>$1,600</w:t>
            </w:r>
          </w:p>
        </w:tc>
        <w:tc>
          <w:tcPr>
            <w:tcW w:w="1466" w:type="dxa"/>
          </w:tcPr>
          <w:p w:rsidR="00B93EC1" w:rsidRDefault="00B93EC1">
            <w:pPr>
              <w:keepNext/>
              <w:widowControl w:val="0"/>
              <w:spacing w:after="0" w:line="240" w:lineRule="auto"/>
              <w:rPr>
                <w:sz w:val="20"/>
                <w:szCs w:val="20"/>
              </w:rPr>
            </w:pPr>
          </w:p>
        </w:tc>
        <w:tc>
          <w:tcPr>
            <w:tcW w:w="1466" w:type="dxa"/>
          </w:tcPr>
          <w:p w:rsidR="00B93EC1" w:rsidRDefault="00B93EC1">
            <w:pPr>
              <w:keepNext/>
              <w:widowControl w:val="0"/>
              <w:spacing w:after="0" w:line="240" w:lineRule="auto"/>
              <w:rPr>
                <w:sz w:val="20"/>
                <w:szCs w:val="20"/>
              </w:rPr>
            </w:pPr>
            <w:r>
              <w:rPr>
                <w:sz w:val="20"/>
                <w:szCs w:val="20"/>
              </w:rPr>
              <w:t>$1,600</w:t>
            </w:r>
          </w:p>
        </w:tc>
      </w:tr>
      <w:tr w:rsidR="00B93EC1" w:rsidTr="00B93EC1">
        <w:trPr>
          <w:cantSplit/>
        </w:trPr>
        <w:tc>
          <w:tcPr>
            <w:tcW w:w="1735" w:type="dxa"/>
          </w:tcPr>
          <w:p w:rsidR="00B93EC1" w:rsidRDefault="00B93EC1" w:rsidP="00B93EC1">
            <w:pPr>
              <w:keepNext/>
              <w:widowControl w:val="0"/>
              <w:spacing w:after="0" w:line="240" w:lineRule="auto"/>
              <w:rPr>
                <w:sz w:val="20"/>
                <w:szCs w:val="20"/>
              </w:rPr>
            </w:pPr>
            <w:r>
              <w:rPr>
                <w:sz w:val="20"/>
                <w:szCs w:val="20"/>
              </w:rPr>
              <w:t>Attorney Fees</w:t>
            </w:r>
          </w:p>
        </w:tc>
        <w:tc>
          <w:tcPr>
            <w:tcW w:w="1465" w:type="dxa"/>
          </w:tcPr>
          <w:p w:rsidR="00B93EC1" w:rsidRDefault="00B93EC1">
            <w:pPr>
              <w:keepNext/>
              <w:widowControl w:val="0"/>
              <w:spacing w:after="0" w:line="240" w:lineRule="auto"/>
              <w:rPr>
                <w:sz w:val="20"/>
                <w:szCs w:val="20"/>
              </w:rPr>
            </w:pPr>
            <w:r>
              <w:rPr>
                <w:sz w:val="20"/>
                <w:szCs w:val="20"/>
              </w:rPr>
              <w:t>2016</w:t>
            </w:r>
          </w:p>
        </w:tc>
        <w:tc>
          <w:tcPr>
            <w:tcW w:w="1465" w:type="dxa"/>
          </w:tcPr>
          <w:p w:rsidR="00B93EC1" w:rsidRDefault="00B93EC1">
            <w:pPr>
              <w:keepNext/>
              <w:widowControl w:val="0"/>
              <w:spacing w:after="0" w:line="240" w:lineRule="auto"/>
              <w:rPr>
                <w:sz w:val="20"/>
                <w:szCs w:val="20"/>
              </w:rPr>
            </w:pPr>
          </w:p>
        </w:tc>
        <w:tc>
          <w:tcPr>
            <w:tcW w:w="1465" w:type="dxa"/>
          </w:tcPr>
          <w:p w:rsidR="00B93EC1" w:rsidRDefault="00B93EC1">
            <w:pPr>
              <w:keepNext/>
              <w:widowControl w:val="0"/>
              <w:spacing w:after="0" w:line="240" w:lineRule="auto"/>
              <w:rPr>
                <w:sz w:val="20"/>
                <w:szCs w:val="20"/>
              </w:rPr>
            </w:pPr>
            <w:r>
              <w:rPr>
                <w:sz w:val="20"/>
                <w:szCs w:val="20"/>
              </w:rPr>
              <w:t>$2,000</w:t>
            </w:r>
          </w:p>
        </w:tc>
        <w:tc>
          <w:tcPr>
            <w:tcW w:w="1466" w:type="dxa"/>
          </w:tcPr>
          <w:p w:rsidR="00B93EC1" w:rsidRDefault="00B93EC1">
            <w:pPr>
              <w:keepNext/>
              <w:widowControl w:val="0"/>
              <w:spacing w:after="0" w:line="240" w:lineRule="auto"/>
              <w:rPr>
                <w:sz w:val="20"/>
                <w:szCs w:val="20"/>
              </w:rPr>
            </w:pPr>
          </w:p>
        </w:tc>
        <w:tc>
          <w:tcPr>
            <w:tcW w:w="1466" w:type="dxa"/>
          </w:tcPr>
          <w:p w:rsidR="00B93EC1" w:rsidRDefault="00B93EC1">
            <w:pPr>
              <w:keepNext/>
              <w:widowControl w:val="0"/>
              <w:spacing w:after="0" w:line="240" w:lineRule="auto"/>
              <w:rPr>
                <w:sz w:val="20"/>
                <w:szCs w:val="20"/>
              </w:rPr>
            </w:pPr>
          </w:p>
        </w:tc>
        <w:tc>
          <w:tcPr>
            <w:tcW w:w="1466" w:type="dxa"/>
          </w:tcPr>
          <w:p w:rsidR="00B93EC1" w:rsidRDefault="00B93EC1">
            <w:pPr>
              <w:keepNext/>
              <w:widowControl w:val="0"/>
              <w:spacing w:after="0" w:line="240" w:lineRule="auto"/>
              <w:rPr>
                <w:sz w:val="20"/>
                <w:szCs w:val="20"/>
              </w:rPr>
            </w:pPr>
          </w:p>
        </w:tc>
        <w:tc>
          <w:tcPr>
            <w:tcW w:w="1466" w:type="dxa"/>
          </w:tcPr>
          <w:p w:rsidR="00B93EC1" w:rsidRDefault="00B93EC1">
            <w:pPr>
              <w:keepNext/>
              <w:widowControl w:val="0"/>
              <w:spacing w:after="0" w:line="240" w:lineRule="auto"/>
              <w:rPr>
                <w:sz w:val="20"/>
                <w:szCs w:val="20"/>
              </w:rPr>
            </w:pPr>
          </w:p>
        </w:tc>
        <w:tc>
          <w:tcPr>
            <w:tcW w:w="1466" w:type="dxa"/>
          </w:tcPr>
          <w:p w:rsidR="00B93EC1" w:rsidRDefault="00B93EC1">
            <w:pPr>
              <w:keepNext/>
              <w:widowControl w:val="0"/>
              <w:spacing w:after="0" w:line="240" w:lineRule="auto"/>
              <w:rPr>
                <w:sz w:val="20"/>
                <w:szCs w:val="20"/>
              </w:rPr>
            </w:pPr>
            <w:r>
              <w:rPr>
                <w:sz w:val="20"/>
                <w:szCs w:val="20"/>
              </w:rPr>
              <w:t>$2,000</w:t>
            </w:r>
          </w:p>
        </w:tc>
      </w:tr>
      <w:tr w:rsidR="00B93EC1" w:rsidTr="00B93EC1">
        <w:trPr>
          <w:cantSplit/>
        </w:trPr>
        <w:tc>
          <w:tcPr>
            <w:tcW w:w="1735" w:type="dxa"/>
          </w:tcPr>
          <w:p w:rsidR="00B93EC1" w:rsidRDefault="00B93EC1" w:rsidP="00B93EC1">
            <w:pPr>
              <w:keepNext/>
              <w:widowControl w:val="0"/>
              <w:spacing w:after="0" w:line="240" w:lineRule="auto"/>
              <w:rPr>
                <w:sz w:val="20"/>
                <w:szCs w:val="20"/>
              </w:rPr>
            </w:pPr>
            <w:r>
              <w:rPr>
                <w:sz w:val="20"/>
                <w:szCs w:val="20"/>
              </w:rPr>
              <w:t>Annual Audit</w:t>
            </w:r>
          </w:p>
        </w:tc>
        <w:tc>
          <w:tcPr>
            <w:tcW w:w="1465" w:type="dxa"/>
          </w:tcPr>
          <w:p w:rsidR="00B93EC1" w:rsidRDefault="00B93EC1">
            <w:pPr>
              <w:keepNext/>
              <w:widowControl w:val="0"/>
              <w:spacing w:after="0" w:line="240" w:lineRule="auto"/>
              <w:rPr>
                <w:sz w:val="20"/>
                <w:szCs w:val="20"/>
              </w:rPr>
            </w:pPr>
            <w:r>
              <w:rPr>
                <w:sz w:val="20"/>
                <w:szCs w:val="20"/>
              </w:rPr>
              <w:t>2016</w:t>
            </w:r>
          </w:p>
        </w:tc>
        <w:tc>
          <w:tcPr>
            <w:tcW w:w="1465" w:type="dxa"/>
          </w:tcPr>
          <w:p w:rsidR="00B93EC1" w:rsidRDefault="00B93EC1">
            <w:pPr>
              <w:keepNext/>
              <w:widowControl w:val="0"/>
              <w:spacing w:after="0" w:line="240" w:lineRule="auto"/>
              <w:rPr>
                <w:sz w:val="20"/>
                <w:szCs w:val="20"/>
              </w:rPr>
            </w:pPr>
          </w:p>
        </w:tc>
        <w:tc>
          <w:tcPr>
            <w:tcW w:w="1465" w:type="dxa"/>
          </w:tcPr>
          <w:p w:rsidR="00B93EC1" w:rsidRDefault="00B93EC1">
            <w:pPr>
              <w:keepNext/>
              <w:widowControl w:val="0"/>
              <w:spacing w:after="0" w:line="240" w:lineRule="auto"/>
              <w:rPr>
                <w:sz w:val="20"/>
                <w:szCs w:val="20"/>
              </w:rPr>
            </w:pPr>
            <w:r>
              <w:rPr>
                <w:sz w:val="20"/>
                <w:szCs w:val="20"/>
              </w:rPr>
              <w:t>$5,800</w:t>
            </w:r>
          </w:p>
        </w:tc>
        <w:tc>
          <w:tcPr>
            <w:tcW w:w="1466" w:type="dxa"/>
          </w:tcPr>
          <w:p w:rsidR="00B93EC1" w:rsidRDefault="00B93EC1">
            <w:pPr>
              <w:keepNext/>
              <w:widowControl w:val="0"/>
              <w:spacing w:after="0" w:line="240" w:lineRule="auto"/>
              <w:rPr>
                <w:sz w:val="20"/>
                <w:szCs w:val="20"/>
              </w:rPr>
            </w:pPr>
          </w:p>
        </w:tc>
        <w:tc>
          <w:tcPr>
            <w:tcW w:w="1466" w:type="dxa"/>
          </w:tcPr>
          <w:p w:rsidR="00B93EC1" w:rsidRDefault="00B93EC1">
            <w:pPr>
              <w:keepNext/>
              <w:widowControl w:val="0"/>
              <w:spacing w:after="0" w:line="240" w:lineRule="auto"/>
              <w:rPr>
                <w:sz w:val="20"/>
                <w:szCs w:val="20"/>
              </w:rPr>
            </w:pPr>
          </w:p>
        </w:tc>
        <w:tc>
          <w:tcPr>
            <w:tcW w:w="1466" w:type="dxa"/>
          </w:tcPr>
          <w:p w:rsidR="00B93EC1" w:rsidRDefault="00B93EC1">
            <w:pPr>
              <w:keepNext/>
              <w:widowControl w:val="0"/>
              <w:spacing w:after="0" w:line="240" w:lineRule="auto"/>
              <w:rPr>
                <w:sz w:val="20"/>
                <w:szCs w:val="20"/>
              </w:rPr>
            </w:pPr>
          </w:p>
        </w:tc>
        <w:tc>
          <w:tcPr>
            <w:tcW w:w="1466" w:type="dxa"/>
          </w:tcPr>
          <w:p w:rsidR="00B93EC1" w:rsidRDefault="00B93EC1">
            <w:pPr>
              <w:keepNext/>
              <w:widowControl w:val="0"/>
              <w:spacing w:after="0" w:line="240" w:lineRule="auto"/>
              <w:rPr>
                <w:sz w:val="20"/>
                <w:szCs w:val="20"/>
              </w:rPr>
            </w:pPr>
          </w:p>
        </w:tc>
        <w:tc>
          <w:tcPr>
            <w:tcW w:w="1466" w:type="dxa"/>
          </w:tcPr>
          <w:p w:rsidR="00B93EC1" w:rsidRDefault="00B93EC1">
            <w:pPr>
              <w:keepNext/>
              <w:widowControl w:val="0"/>
              <w:spacing w:after="0" w:line="240" w:lineRule="auto"/>
              <w:rPr>
                <w:sz w:val="20"/>
                <w:szCs w:val="20"/>
              </w:rPr>
            </w:pPr>
            <w:r>
              <w:rPr>
                <w:sz w:val="20"/>
                <w:szCs w:val="20"/>
              </w:rPr>
              <w:t>$5,800</w:t>
            </w:r>
          </w:p>
        </w:tc>
      </w:tr>
      <w:tr w:rsidR="00B93EC1" w:rsidTr="00B93EC1">
        <w:trPr>
          <w:cantSplit/>
        </w:trPr>
        <w:tc>
          <w:tcPr>
            <w:tcW w:w="1735" w:type="dxa"/>
          </w:tcPr>
          <w:p w:rsidR="00B93EC1" w:rsidRDefault="00B93EC1" w:rsidP="00B93EC1">
            <w:pPr>
              <w:keepNext/>
              <w:widowControl w:val="0"/>
              <w:spacing w:after="0" w:line="240" w:lineRule="auto"/>
              <w:rPr>
                <w:sz w:val="20"/>
                <w:szCs w:val="20"/>
              </w:rPr>
            </w:pPr>
            <w:r>
              <w:rPr>
                <w:sz w:val="20"/>
                <w:szCs w:val="20"/>
              </w:rPr>
              <w:t>3606 Woodside-Permit Fees</w:t>
            </w:r>
          </w:p>
        </w:tc>
        <w:tc>
          <w:tcPr>
            <w:tcW w:w="1465" w:type="dxa"/>
          </w:tcPr>
          <w:p w:rsidR="00B93EC1" w:rsidRDefault="00B93EC1">
            <w:pPr>
              <w:keepNext/>
              <w:widowControl w:val="0"/>
              <w:spacing w:after="0" w:line="240" w:lineRule="auto"/>
              <w:rPr>
                <w:sz w:val="20"/>
                <w:szCs w:val="20"/>
              </w:rPr>
            </w:pPr>
            <w:r>
              <w:rPr>
                <w:sz w:val="20"/>
                <w:szCs w:val="20"/>
              </w:rPr>
              <w:t>2016</w:t>
            </w:r>
          </w:p>
        </w:tc>
        <w:tc>
          <w:tcPr>
            <w:tcW w:w="1465" w:type="dxa"/>
          </w:tcPr>
          <w:p w:rsidR="00B93EC1" w:rsidRDefault="00B93EC1">
            <w:pPr>
              <w:keepNext/>
              <w:widowControl w:val="0"/>
              <w:spacing w:after="0" w:line="240" w:lineRule="auto"/>
              <w:rPr>
                <w:sz w:val="20"/>
                <w:szCs w:val="20"/>
              </w:rPr>
            </w:pPr>
          </w:p>
        </w:tc>
        <w:tc>
          <w:tcPr>
            <w:tcW w:w="1465" w:type="dxa"/>
          </w:tcPr>
          <w:p w:rsidR="00B93EC1" w:rsidRDefault="00B93EC1">
            <w:pPr>
              <w:keepNext/>
              <w:widowControl w:val="0"/>
              <w:spacing w:after="0" w:line="240" w:lineRule="auto"/>
              <w:rPr>
                <w:sz w:val="20"/>
                <w:szCs w:val="20"/>
              </w:rPr>
            </w:pPr>
            <w:r>
              <w:rPr>
                <w:sz w:val="20"/>
                <w:szCs w:val="20"/>
              </w:rPr>
              <w:t>$5,000</w:t>
            </w:r>
          </w:p>
        </w:tc>
        <w:tc>
          <w:tcPr>
            <w:tcW w:w="1466" w:type="dxa"/>
          </w:tcPr>
          <w:p w:rsidR="00B93EC1" w:rsidRDefault="00B93EC1">
            <w:pPr>
              <w:keepNext/>
              <w:widowControl w:val="0"/>
              <w:spacing w:after="0" w:line="240" w:lineRule="auto"/>
              <w:rPr>
                <w:sz w:val="20"/>
                <w:szCs w:val="20"/>
              </w:rPr>
            </w:pPr>
          </w:p>
        </w:tc>
        <w:tc>
          <w:tcPr>
            <w:tcW w:w="1466" w:type="dxa"/>
          </w:tcPr>
          <w:p w:rsidR="00B93EC1" w:rsidRDefault="00B93EC1">
            <w:pPr>
              <w:keepNext/>
              <w:widowControl w:val="0"/>
              <w:spacing w:after="0" w:line="240" w:lineRule="auto"/>
              <w:rPr>
                <w:sz w:val="20"/>
                <w:szCs w:val="20"/>
              </w:rPr>
            </w:pPr>
          </w:p>
        </w:tc>
        <w:tc>
          <w:tcPr>
            <w:tcW w:w="1466" w:type="dxa"/>
          </w:tcPr>
          <w:p w:rsidR="00B93EC1" w:rsidRDefault="00B93EC1">
            <w:pPr>
              <w:keepNext/>
              <w:widowControl w:val="0"/>
              <w:spacing w:after="0" w:line="240" w:lineRule="auto"/>
              <w:rPr>
                <w:sz w:val="20"/>
                <w:szCs w:val="20"/>
              </w:rPr>
            </w:pPr>
          </w:p>
        </w:tc>
        <w:tc>
          <w:tcPr>
            <w:tcW w:w="1466" w:type="dxa"/>
          </w:tcPr>
          <w:p w:rsidR="00B93EC1" w:rsidRDefault="00B93EC1">
            <w:pPr>
              <w:keepNext/>
              <w:widowControl w:val="0"/>
              <w:spacing w:after="0" w:line="240" w:lineRule="auto"/>
              <w:rPr>
                <w:sz w:val="20"/>
                <w:szCs w:val="20"/>
              </w:rPr>
            </w:pPr>
          </w:p>
        </w:tc>
        <w:tc>
          <w:tcPr>
            <w:tcW w:w="1466" w:type="dxa"/>
          </w:tcPr>
          <w:p w:rsidR="00B93EC1" w:rsidRDefault="00B93EC1">
            <w:pPr>
              <w:keepNext/>
              <w:widowControl w:val="0"/>
              <w:spacing w:after="0" w:line="240" w:lineRule="auto"/>
              <w:rPr>
                <w:sz w:val="20"/>
                <w:szCs w:val="20"/>
              </w:rPr>
            </w:pPr>
            <w:r>
              <w:rPr>
                <w:sz w:val="20"/>
                <w:szCs w:val="20"/>
              </w:rPr>
              <w:t>$5,000</w:t>
            </w:r>
          </w:p>
        </w:tc>
      </w:tr>
      <w:tr w:rsidR="00B93EC1" w:rsidTr="00B93EC1">
        <w:trPr>
          <w:cantSplit/>
        </w:trPr>
        <w:tc>
          <w:tcPr>
            <w:tcW w:w="1735" w:type="dxa"/>
          </w:tcPr>
          <w:p w:rsidR="00B93EC1" w:rsidRDefault="00B93EC1" w:rsidP="00B93EC1">
            <w:pPr>
              <w:keepNext/>
              <w:widowControl w:val="0"/>
              <w:spacing w:after="0" w:line="240" w:lineRule="auto"/>
              <w:rPr>
                <w:sz w:val="20"/>
                <w:szCs w:val="20"/>
              </w:rPr>
            </w:pPr>
            <w:r>
              <w:rPr>
                <w:sz w:val="20"/>
                <w:szCs w:val="20"/>
              </w:rPr>
              <w:t>City Funded HOA</w:t>
            </w:r>
          </w:p>
        </w:tc>
        <w:tc>
          <w:tcPr>
            <w:tcW w:w="1465" w:type="dxa"/>
          </w:tcPr>
          <w:p w:rsidR="00B93EC1" w:rsidRDefault="00B93EC1">
            <w:pPr>
              <w:keepNext/>
              <w:widowControl w:val="0"/>
              <w:spacing w:after="0" w:line="240" w:lineRule="auto"/>
              <w:rPr>
                <w:sz w:val="20"/>
                <w:szCs w:val="20"/>
              </w:rPr>
            </w:pPr>
            <w:r>
              <w:rPr>
                <w:sz w:val="20"/>
                <w:szCs w:val="20"/>
              </w:rPr>
              <w:t>2016</w:t>
            </w:r>
          </w:p>
        </w:tc>
        <w:tc>
          <w:tcPr>
            <w:tcW w:w="1465" w:type="dxa"/>
          </w:tcPr>
          <w:p w:rsidR="00B93EC1" w:rsidRDefault="00B93EC1">
            <w:pPr>
              <w:keepNext/>
              <w:widowControl w:val="0"/>
              <w:spacing w:after="0" w:line="240" w:lineRule="auto"/>
              <w:rPr>
                <w:sz w:val="20"/>
                <w:szCs w:val="20"/>
              </w:rPr>
            </w:pPr>
            <w:r>
              <w:rPr>
                <w:sz w:val="20"/>
                <w:szCs w:val="20"/>
              </w:rPr>
              <w:t>$83,179</w:t>
            </w:r>
          </w:p>
        </w:tc>
        <w:tc>
          <w:tcPr>
            <w:tcW w:w="1465" w:type="dxa"/>
          </w:tcPr>
          <w:p w:rsidR="00B93EC1" w:rsidRDefault="00B93EC1">
            <w:pPr>
              <w:keepNext/>
              <w:widowControl w:val="0"/>
              <w:spacing w:after="0" w:line="240" w:lineRule="auto"/>
              <w:rPr>
                <w:sz w:val="20"/>
                <w:szCs w:val="20"/>
              </w:rPr>
            </w:pPr>
          </w:p>
        </w:tc>
        <w:tc>
          <w:tcPr>
            <w:tcW w:w="1466" w:type="dxa"/>
          </w:tcPr>
          <w:p w:rsidR="00B93EC1" w:rsidRDefault="00B93EC1">
            <w:pPr>
              <w:keepNext/>
              <w:widowControl w:val="0"/>
              <w:spacing w:after="0" w:line="240" w:lineRule="auto"/>
              <w:rPr>
                <w:sz w:val="20"/>
                <w:szCs w:val="20"/>
              </w:rPr>
            </w:pPr>
          </w:p>
        </w:tc>
        <w:tc>
          <w:tcPr>
            <w:tcW w:w="1466" w:type="dxa"/>
          </w:tcPr>
          <w:p w:rsidR="00B93EC1" w:rsidRDefault="00B93EC1">
            <w:pPr>
              <w:keepNext/>
              <w:widowControl w:val="0"/>
              <w:spacing w:after="0" w:line="240" w:lineRule="auto"/>
              <w:rPr>
                <w:sz w:val="20"/>
                <w:szCs w:val="20"/>
              </w:rPr>
            </w:pPr>
          </w:p>
        </w:tc>
        <w:tc>
          <w:tcPr>
            <w:tcW w:w="1466" w:type="dxa"/>
          </w:tcPr>
          <w:p w:rsidR="00B93EC1" w:rsidRDefault="00B93EC1">
            <w:pPr>
              <w:keepNext/>
              <w:widowControl w:val="0"/>
              <w:spacing w:after="0" w:line="240" w:lineRule="auto"/>
              <w:rPr>
                <w:sz w:val="20"/>
                <w:szCs w:val="20"/>
              </w:rPr>
            </w:pPr>
          </w:p>
        </w:tc>
        <w:tc>
          <w:tcPr>
            <w:tcW w:w="1466" w:type="dxa"/>
          </w:tcPr>
          <w:p w:rsidR="00B93EC1" w:rsidRDefault="00B93EC1">
            <w:pPr>
              <w:keepNext/>
              <w:widowControl w:val="0"/>
              <w:spacing w:after="0" w:line="240" w:lineRule="auto"/>
              <w:rPr>
                <w:sz w:val="20"/>
                <w:szCs w:val="20"/>
              </w:rPr>
            </w:pPr>
          </w:p>
        </w:tc>
        <w:tc>
          <w:tcPr>
            <w:tcW w:w="1466" w:type="dxa"/>
          </w:tcPr>
          <w:p w:rsidR="00B93EC1" w:rsidRDefault="00B93EC1">
            <w:pPr>
              <w:keepNext/>
              <w:widowControl w:val="0"/>
              <w:spacing w:after="0" w:line="240" w:lineRule="auto"/>
              <w:rPr>
                <w:sz w:val="20"/>
                <w:szCs w:val="20"/>
              </w:rPr>
            </w:pPr>
            <w:r>
              <w:rPr>
                <w:sz w:val="20"/>
                <w:szCs w:val="20"/>
              </w:rPr>
              <w:t>$83,179</w:t>
            </w:r>
          </w:p>
        </w:tc>
      </w:tr>
      <w:tr w:rsidR="00B93EC1" w:rsidTr="00B93EC1">
        <w:trPr>
          <w:cantSplit/>
        </w:trPr>
        <w:tc>
          <w:tcPr>
            <w:tcW w:w="1735" w:type="dxa"/>
          </w:tcPr>
          <w:p w:rsidR="00B93EC1" w:rsidRDefault="00B93EC1" w:rsidP="00B93EC1">
            <w:pPr>
              <w:keepNext/>
              <w:widowControl w:val="0"/>
              <w:spacing w:after="0" w:line="240" w:lineRule="auto"/>
              <w:rPr>
                <w:sz w:val="20"/>
                <w:szCs w:val="20"/>
              </w:rPr>
            </w:pPr>
            <w:r>
              <w:rPr>
                <w:sz w:val="20"/>
                <w:szCs w:val="20"/>
              </w:rPr>
              <w:t>City Funds for CLT Planning</w:t>
            </w:r>
          </w:p>
        </w:tc>
        <w:tc>
          <w:tcPr>
            <w:tcW w:w="1465" w:type="dxa"/>
          </w:tcPr>
          <w:p w:rsidR="00B93EC1" w:rsidRDefault="00B93EC1">
            <w:pPr>
              <w:keepNext/>
              <w:widowControl w:val="0"/>
              <w:spacing w:after="0" w:line="240" w:lineRule="auto"/>
              <w:rPr>
                <w:sz w:val="20"/>
                <w:szCs w:val="20"/>
              </w:rPr>
            </w:pPr>
            <w:r>
              <w:rPr>
                <w:sz w:val="20"/>
                <w:szCs w:val="20"/>
              </w:rPr>
              <w:t>2016</w:t>
            </w:r>
          </w:p>
        </w:tc>
        <w:tc>
          <w:tcPr>
            <w:tcW w:w="1465" w:type="dxa"/>
          </w:tcPr>
          <w:p w:rsidR="00B93EC1" w:rsidRDefault="00B93EC1">
            <w:pPr>
              <w:keepNext/>
              <w:widowControl w:val="0"/>
              <w:spacing w:after="0" w:line="240" w:lineRule="auto"/>
              <w:rPr>
                <w:sz w:val="20"/>
                <w:szCs w:val="20"/>
              </w:rPr>
            </w:pPr>
            <w:r>
              <w:rPr>
                <w:sz w:val="20"/>
                <w:szCs w:val="20"/>
              </w:rPr>
              <w:t>$11,561.96</w:t>
            </w:r>
          </w:p>
        </w:tc>
        <w:tc>
          <w:tcPr>
            <w:tcW w:w="1465" w:type="dxa"/>
          </w:tcPr>
          <w:p w:rsidR="00B93EC1" w:rsidRDefault="00B93EC1">
            <w:pPr>
              <w:keepNext/>
              <w:widowControl w:val="0"/>
              <w:spacing w:after="0" w:line="240" w:lineRule="auto"/>
              <w:rPr>
                <w:sz w:val="20"/>
                <w:szCs w:val="20"/>
              </w:rPr>
            </w:pPr>
          </w:p>
        </w:tc>
        <w:tc>
          <w:tcPr>
            <w:tcW w:w="1466" w:type="dxa"/>
          </w:tcPr>
          <w:p w:rsidR="00B93EC1" w:rsidRDefault="00B93EC1">
            <w:pPr>
              <w:keepNext/>
              <w:widowControl w:val="0"/>
              <w:spacing w:after="0" w:line="240" w:lineRule="auto"/>
              <w:rPr>
                <w:sz w:val="20"/>
                <w:szCs w:val="20"/>
              </w:rPr>
            </w:pPr>
          </w:p>
        </w:tc>
        <w:tc>
          <w:tcPr>
            <w:tcW w:w="1466" w:type="dxa"/>
          </w:tcPr>
          <w:p w:rsidR="00B93EC1" w:rsidRDefault="00B93EC1">
            <w:pPr>
              <w:keepNext/>
              <w:widowControl w:val="0"/>
              <w:spacing w:after="0" w:line="240" w:lineRule="auto"/>
              <w:rPr>
                <w:sz w:val="20"/>
                <w:szCs w:val="20"/>
              </w:rPr>
            </w:pPr>
          </w:p>
        </w:tc>
        <w:tc>
          <w:tcPr>
            <w:tcW w:w="1466" w:type="dxa"/>
          </w:tcPr>
          <w:p w:rsidR="00B93EC1" w:rsidRDefault="00B93EC1">
            <w:pPr>
              <w:keepNext/>
              <w:widowControl w:val="0"/>
              <w:spacing w:after="0" w:line="240" w:lineRule="auto"/>
              <w:rPr>
                <w:sz w:val="20"/>
                <w:szCs w:val="20"/>
              </w:rPr>
            </w:pPr>
          </w:p>
        </w:tc>
        <w:tc>
          <w:tcPr>
            <w:tcW w:w="1466" w:type="dxa"/>
          </w:tcPr>
          <w:p w:rsidR="00B93EC1" w:rsidRDefault="00B93EC1">
            <w:pPr>
              <w:keepNext/>
              <w:widowControl w:val="0"/>
              <w:spacing w:after="0" w:line="240" w:lineRule="auto"/>
              <w:rPr>
                <w:sz w:val="20"/>
                <w:szCs w:val="20"/>
              </w:rPr>
            </w:pPr>
          </w:p>
        </w:tc>
        <w:tc>
          <w:tcPr>
            <w:tcW w:w="1466" w:type="dxa"/>
          </w:tcPr>
          <w:p w:rsidR="00B93EC1" w:rsidRDefault="00B93EC1">
            <w:pPr>
              <w:keepNext/>
              <w:widowControl w:val="0"/>
              <w:spacing w:after="0" w:line="240" w:lineRule="auto"/>
              <w:rPr>
                <w:sz w:val="20"/>
                <w:szCs w:val="20"/>
              </w:rPr>
            </w:pPr>
            <w:r>
              <w:rPr>
                <w:sz w:val="20"/>
                <w:szCs w:val="20"/>
              </w:rPr>
              <w:t>$11,561.96</w:t>
            </w:r>
          </w:p>
        </w:tc>
      </w:tr>
    </w:tbl>
    <w:p w:rsidR="00C56567" w:rsidRDefault="00B931E6">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FB21A6">
        <w:rPr>
          <w:rFonts w:asciiTheme="minorHAnsi" w:hAnsiTheme="minorHAnsi"/>
          <w:noProof/>
        </w:rPr>
        <w:t>6</w:t>
      </w:r>
      <w:r>
        <w:rPr>
          <w:rFonts w:asciiTheme="minorHAnsi" w:hAnsiTheme="minorHAnsi"/>
        </w:rPr>
        <w:fldChar w:fldCharType="end"/>
      </w:r>
      <w:r>
        <w:rPr>
          <w:rFonts w:asciiTheme="minorHAnsi" w:hAnsiTheme="minorHAnsi"/>
        </w:rPr>
        <w:t xml:space="preserve"> – Match Contribution for the Federal Fiscal Year</w:t>
      </w:r>
    </w:p>
    <w:p w:rsidR="00C56567" w:rsidRDefault="00C56567"/>
    <w:p w:rsidR="00C56567" w:rsidRDefault="00B931E6">
      <w:pPr>
        <w:widowControl w:val="0"/>
        <w:spacing w:line="204" w:lineRule="auto"/>
        <w:rPr>
          <w:b/>
          <w:sz w:val="24"/>
          <w:szCs w:val="24"/>
        </w:rPr>
      </w:pPr>
      <w:r>
        <w:rPr>
          <w:b/>
          <w:sz w:val="24"/>
          <w:szCs w:val="24"/>
        </w:rPr>
        <w:t>HOME MBE/WBE report</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637"/>
        <w:gridCol w:w="2638"/>
        <w:gridCol w:w="2638"/>
        <w:gridCol w:w="2638"/>
        <w:gridCol w:w="2639"/>
      </w:tblGrid>
      <w:tr w:rsidR="00C56567" w:rsidTr="00A76527">
        <w:trPr>
          <w:cantSplit/>
          <w:tblHeader/>
        </w:trPr>
        <w:tc>
          <w:tcPr>
            <w:tcW w:w="13176" w:type="dxa"/>
            <w:gridSpan w:val="5"/>
            <w:shd w:val="clear" w:color="auto" w:fill="D9D9D9" w:themeFill="background1" w:themeFillShade="D9"/>
          </w:tcPr>
          <w:p w:rsidR="00C56567" w:rsidRDefault="00B931E6">
            <w:pPr>
              <w:keepNext/>
              <w:widowControl w:val="0"/>
              <w:spacing w:after="0" w:line="240" w:lineRule="auto"/>
              <w:rPr>
                <w:b/>
              </w:rPr>
            </w:pPr>
            <w:r>
              <w:rPr>
                <w:b/>
              </w:rPr>
              <w:t xml:space="preserve">Program Income </w:t>
            </w:r>
            <w:r>
              <w:t>– Enter the program amounts for the reporting period</w:t>
            </w:r>
          </w:p>
        </w:tc>
      </w:tr>
      <w:tr w:rsidR="00C56567" w:rsidTr="00A76527">
        <w:trPr>
          <w:cantSplit/>
          <w:tblHeader/>
        </w:trPr>
        <w:tc>
          <w:tcPr>
            <w:tcW w:w="2635" w:type="dxa"/>
            <w:shd w:val="clear" w:color="auto" w:fill="D9D9D9" w:themeFill="background1" w:themeFillShade="D9"/>
          </w:tcPr>
          <w:p w:rsidR="00C56567" w:rsidRDefault="00B931E6">
            <w:pPr>
              <w:keepNext/>
              <w:spacing w:after="0" w:line="240" w:lineRule="auto"/>
              <w:jc w:val="center"/>
              <w:rPr>
                <w:b/>
              </w:rPr>
            </w:pPr>
            <w:r>
              <w:rPr>
                <w:b/>
              </w:rPr>
              <w:t>Balance on hand at begin-ning of reporting period</w:t>
            </w:r>
          </w:p>
          <w:p w:rsidR="00C56567" w:rsidRDefault="00B931E6">
            <w:pPr>
              <w:keepNext/>
              <w:spacing w:after="0" w:line="240" w:lineRule="auto"/>
              <w:jc w:val="center"/>
              <w:rPr>
                <w:b/>
              </w:rPr>
            </w:pPr>
            <w:r>
              <w:rPr>
                <w:b/>
              </w:rPr>
              <w:t>$</w:t>
            </w:r>
          </w:p>
        </w:tc>
        <w:tc>
          <w:tcPr>
            <w:tcW w:w="2635" w:type="dxa"/>
            <w:shd w:val="clear" w:color="auto" w:fill="D9D9D9" w:themeFill="background1" w:themeFillShade="D9"/>
          </w:tcPr>
          <w:p w:rsidR="00C56567" w:rsidRDefault="00B931E6">
            <w:pPr>
              <w:keepNext/>
              <w:spacing w:after="0" w:line="240" w:lineRule="auto"/>
              <w:jc w:val="center"/>
              <w:rPr>
                <w:b/>
              </w:rPr>
            </w:pPr>
            <w:r>
              <w:rPr>
                <w:b/>
              </w:rPr>
              <w:t>Amount received during reporting period</w:t>
            </w:r>
          </w:p>
          <w:p w:rsidR="00C56567" w:rsidRDefault="00B931E6">
            <w:pPr>
              <w:keepNext/>
              <w:spacing w:after="0" w:line="240" w:lineRule="auto"/>
              <w:jc w:val="center"/>
              <w:rPr>
                <w:b/>
              </w:rPr>
            </w:pPr>
            <w:r>
              <w:rPr>
                <w:b/>
              </w:rPr>
              <w:t>$</w:t>
            </w:r>
          </w:p>
        </w:tc>
        <w:tc>
          <w:tcPr>
            <w:tcW w:w="2635" w:type="dxa"/>
            <w:shd w:val="clear" w:color="auto" w:fill="D9D9D9" w:themeFill="background1" w:themeFillShade="D9"/>
          </w:tcPr>
          <w:p w:rsidR="00C56567" w:rsidRDefault="00B931E6">
            <w:pPr>
              <w:keepNext/>
              <w:spacing w:after="0" w:line="240" w:lineRule="auto"/>
              <w:jc w:val="center"/>
              <w:rPr>
                <w:b/>
              </w:rPr>
            </w:pPr>
            <w:r>
              <w:rPr>
                <w:b/>
              </w:rPr>
              <w:t>Total amount expended during reporting period</w:t>
            </w:r>
          </w:p>
          <w:p w:rsidR="00C56567" w:rsidRDefault="00B931E6">
            <w:pPr>
              <w:keepNext/>
              <w:spacing w:after="0" w:line="240" w:lineRule="auto"/>
              <w:jc w:val="center"/>
              <w:rPr>
                <w:b/>
              </w:rPr>
            </w:pPr>
            <w:r>
              <w:rPr>
                <w:b/>
              </w:rPr>
              <w:t>$</w:t>
            </w:r>
          </w:p>
        </w:tc>
        <w:tc>
          <w:tcPr>
            <w:tcW w:w="2635" w:type="dxa"/>
            <w:shd w:val="clear" w:color="auto" w:fill="D9D9D9" w:themeFill="background1" w:themeFillShade="D9"/>
          </w:tcPr>
          <w:p w:rsidR="00C56567" w:rsidRDefault="00B931E6">
            <w:pPr>
              <w:keepNext/>
              <w:spacing w:after="0" w:line="240" w:lineRule="auto"/>
              <w:jc w:val="center"/>
              <w:rPr>
                <w:b/>
              </w:rPr>
            </w:pPr>
            <w:r>
              <w:rPr>
                <w:b/>
              </w:rPr>
              <w:t>Amount expended for TBRA</w:t>
            </w:r>
          </w:p>
          <w:p w:rsidR="00C56567" w:rsidRDefault="00B931E6">
            <w:pPr>
              <w:keepNext/>
              <w:spacing w:after="0" w:line="240" w:lineRule="auto"/>
              <w:jc w:val="center"/>
              <w:rPr>
                <w:b/>
              </w:rPr>
            </w:pPr>
            <w:r>
              <w:rPr>
                <w:b/>
              </w:rPr>
              <w:t>$</w:t>
            </w:r>
          </w:p>
        </w:tc>
        <w:tc>
          <w:tcPr>
            <w:tcW w:w="2636" w:type="dxa"/>
            <w:shd w:val="clear" w:color="auto" w:fill="D9D9D9" w:themeFill="background1" w:themeFillShade="D9"/>
          </w:tcPr>
          <w:p w:rsidR="00C56567" w:rsidRDefault="00B931E6">
            <w:pPr>
              <w:keepNext/>
              <w:spacing w:after="0" w:line="240" w:lineRule="auto"/>
              <w:jc w:val="center"/>
              <w:rPr>
                <w:b/>
              </w:rPr>
            </w:pPr>
            <w:r>
              <w:rPr>
                <w:b/>
              </w:rPr>
              <w:t>Balance on hand at end of reporting period</w:t>
            </w:r>
          </w:p>
          <w:p w:rsidR="00C56567" w:rsidRDefault="00B931E6">
            <w:pPr>
              <w:keepNext/>
              <w:spacing w:after="0" w:line="240" w:lineRule="auto"/>
              <w:jc w:val="center"/>
              <w:rPr>
                <w:b/>
              </w:rPr>
            </w:pPr>
            <w:r>
              <w:rPr>
                <w:b/>
              </w:rPr>
              <w:t>$</w:t>
            </w:r>
          </w:p>
        </w:tc>
      </w:tr>
      <w:tr w:rsidR="00C56567">
        <w:trPr>
          <w:cantSplit/>
        </w:trPr>
        <w:tc>
          <w:tcPr>
            <w:tcW w:w="2635" w:type="dxa"/>
          </w:tcPr>
          <w:p w:rsidR="00C56567" w:rsidRDefault="00C636B7" w:rsidP="00C636B7">
            <w:pPr>
              <w:keepNext/>
              <w:widowControl w:val="0"/>
              <w:spacing w:after="0" w:line="240" w:lineRule="auto"/>
              <w:jc w:val="center"/>
              <w:rPr>
                <w:b/>
              </w:rPr>
            </w:pPr>
            <w:r>
              <w:rPr>
                <w:b/>
              </w:rPr>
              <w:t>0</w:t>
            </w:r>
          </w:p>
        </w:tc>
        <w:tc>
          <w:tcPr>
            <w:tcW w:w="2635" w:type="dxa"/>
          </w:tcPr>
          <w:p w:rsidR="00C56567" w:rsidRDefault="00C636B7" w:rsidP="00C636B7">
            <w:pPr>
              <w:keepNext/>
              <w:widowControl w:val="0"/>
              <w:spacing w:after="0" w:line="240" w:lineRule="auto"/>
              <w:jc w:val="center"/>
              <w:rPr>
                <w:b/>
              </w:rPr>
            </w:pPr>
            <w:r>
              <w:rPr>
                <w:b/>
              </w:rPr>
              <w:t>$120,629.32</w:t>
            </w:r>
          </w:p>
        </w:tc>
        <w:tc>
          <w:tcPr>
            <w:tcW w:w="2635" w:type="dxa"/>
          </w:tcPr>
          <w:p w:rsidR="00C56567" w:rsidRDefault="00C636B7" w:rsidP="00C636B7">
            <w:pPr>
              <w:keepNext/>
              <w:widowControl w:val="0"/>
              <w:spacing w:after="0" w:line="240" w:lineRule="auto"/>
              <w:jc w:val="center"/>
              <w:rPr>
                <w:b/>
              </w:rPr>
            </w:pPr>
            <w:r>
              <w:rPr>
                <w:b/>
              </w:rPr>
              <w:t>$120,629.32</w:t>
            </w:r>
          </w:p>
        </w:tc>
        <w:tc>
          <w:tcPr>
            <w:tcW w:w="2635" w:type="dxa"/>
          </w:tcPr>
          <w:p w:rsidR="00C56567" w:rsidRDefault="00C636B7" w:rsidP="00C636B7">
            <w:pPr>
              <w:keepNext/>
              <w:widowControl w:val="0"/>
              <w:spacing w:after="0" w:line="240" w:lineRule="auto"/>
              <w:jc w:val="center"/>
              <w:rPr>
                <w:b/>
              </w:rPr>
            </w:pPr>
            <w:r>
              <w:rPr>
                <w:b/>
              </w:rPr>
              <w:t>0</w:t>
            </w:r>
          </w:p>
        </w:tc>
        <w:tc>
          <w:tcPr>
            <w:tcW w:w="2636" w:type="dxa"/>
          </w:tcPr>
          <w:p w:rsidR="00C56567" w:rsidRDefault="00C636B7" w:rsidP="00C636B7">
            <w:pPr>
              <w:keepNext/>
              <w:widowControl w:val="0"/>
              <w:spacing w:after="0" w:line="240" w:lineRule="auto"/>
              <w:jc w:val="center"/>
              <w:rPr>
                <w:b/>
              </w:rPr>
            </w:pPr>
            <w:r>
              <w:rPr>
                <w:b/>
              </w:rPr>
              <w:t>0</w:t>
            </w:r>
          </w:p>
        </w:tc>
      </w:tr>
    </w:tbl>
    <w:p w:rsidR="00C56567" w:rsidRDefault="00B931E6">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FB21A6">
        <w:rPr>
          <w:rFonts w:asciiTheme="minorHAnsi" w:hAnsiTheme="minorHAnsi"/>
          <w:noProof/>
        </w:rPr>
        <w:t>7</w:t>
      </w:r>
      <w:r>
        <w:rPr>
          <w:rFonts w:asciiTheme="minorHAnsi" w:hAnsiTheme="minorHAnsi"/>
        </w:rPr>
        <w:fldChar w:fldCharType="end"/>
      </w:r>
      <w:r>
        <w:rPr>
          <w:rFonts w:asciiTheme="minorHAnsi" w:hAnsiTheme="minorHAnsi"/>
        </w:rPr>
        <w:t xml:space="preserve"> – Program Income</w:t>
      </w:r>
    </w:p>
    <w:p w:rsidR="00C56567" w:rsidRDefault="00C56567">
      <w:pPr>
        <w:widowControl w:val="0"/>
        <w:spacing w:after="0" w:line="240" w:lineRule="auto"/>
        <w:rPr>
          <w:b/>
          <w:sz w:val="20"/>
          <w:szCs w:val="20"/>
        </w:rPr>
      </w:pPr>
    </w:p>
    <w:p w:rsidR="00C56567" w:rsidRDefault="00C56567">
      <w:pPr>
        <w:widowControl w:val="0"/>
        <w:spacing w:after="0" w:line="240" w:lineRule="auto"/>
        <w:jc w:val="center"/>
        <w:rPr>
          <w:b/>
          <w:sz w:val="20"/>
          <w:szCs w:val="20"/>
        </w:rPr>
        <w:sectPr w:rsidR="00C56567">
          <w:pgSz w:w="15840" w:h="12240" w:orient="landscape" w:code="1"/>
          <w:pgMar w:top="1440" w:right="1440" w:bottom="1440" w:left="1440" w:header="720" w:footer="720" w:gutter="0"/>
          <w:cols w:space="720"/>
          <w:docGrid w:linePitch="360"/>
        </w:sect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C56567" w:rsidTr="00A76527">
        <w:tc>
          <w:tcPr>
            <w:tcW w:w="9576" w:type="dxa"/>
            <w:shd w:val="clear" w:color="auto" w:fill="D9D9D9" w:themeFill="background1" w:themeFillShade="D9"/>
          </w:tcPr>
          <w:p w:rsidR="00C56567" w:rsidRDefault="00B931E6" w:rsidP="00A76527">
            <w:pPr>
              <w:keepNext/>
              <w:widowControl w:val="0"/>
              <w:shd w:val="clear" w:color="auto" w:fill="D9D9D9" w:themeFill="background1" w:themeFillShade="D9"/>
              <w:spacing w:after="0" w:line="240" w:lineRule="auto"/>
              <w:rPr>
                <w:b/>
              </w:rPr>
            </w:pPr>
            <w:r>
              <w:rPr>
                <w:b/>
              </w:rPr>
              <w:t xml:space="preserve">Minority Business Enterprises and Women Business Enterprises – </w:t>
            </w:r>
            <w:r>
              <w:t>Indicate the number and dollar value of contracts for HOME projects completed during the reporting period</w:t>
            </w:r>
          </w:p>
        </w:tc>
      </w:tr>
    </w:tbl>
    <w:p w:rsidR="00C56567" w:rsidRDefault="00C56567" w:rsidP="00A76527">
      <w:pPr>
        <w:keepNext/>
        <w:widowControl w:val="0"/>
        <w:shd w:val="clear" w:color="auto" w:fill="D9D9D9" w:themeFill="background1" w:themeFillShade="D9"/>
        <w:spacing w:after="0" w:line="240" w:lineRule="auto"/>
        <w:rPr>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70"/>
        <w:gridCol w:w="1370"/>
        <w:gridCol w:w="1370"/>
        <w:gridCol w:w="1370"/>
        <w:gridCol w:w="1370"/>
        <w:gridCol w:w="1370"/>
        <w:gridCol w:w="1370"/>
      </w:tblGrid>
      <w:tr w:rsidR="00C56567" w:rsidTr="00A76527">
        <w:trPr>
          <w:cantSplit/>
        </w:trPr>
        <w:tc>
          <w:tcPr>
            <w:tcW w:w="1368" w:type="dxa"/>
            <w:vMerge w:val="restart"/>
            <w:shd w:val="clear" w:color="auto" w:fill="D9D9D9" w:themeFill="background1" w:themeFillShade="D9"/>
          </w:tcPr>
          <w:p w:rsidR="00C56567" w:rsidRDefault="00C56567" w:rsidP="00A76527">
            <w:pPr>
              <w:keepNext/>
              <w:widowControl w:val="0"/>
              <w:shd w:val="clear" w:color="auto" w:fill="D9D9D9" w:themeFill="background1" w:themeFillShade="D9"/>
              <w:spacing w:after="0" w:line="240" w:lineRule="auto"/>
              <w:rPr>
                <w:b/>
              </w:rPr>
            </w:pPr>
          </w:p>
        </w:tc>
        <w:tc>
          <w:tcPr>
            <w:tcW w:w="1368" w:type="dxa"/>
            <w:vMerge w:val="restart"/>
            <w:shd w:val="clear" w:color="auto" w:fill="D9D9D9" w:themeFill="background1" w:themeFillShade="D9"/>
          </w:tcPr>
          <w:p w:rsidR="00C56567" w:rsidRDefault="00B931E6" w:rsidP="00A76527">
            <w:pPr>
              <w:keepNext/>
              <w:widowControl w:val="0"/>
              <w:shd w:val="clear" w:color="auto" w:fill="D9D9D9" w:themeFill="background1" w:themeFillShade="D9"/>
              <w:spacing w:after="0" w:line="240" w:lineRule="auto"/>
              <w:jc w:val="center"/>
              <w:rPr>
                <w:b/>
              </w:rPr>
            </w:pPr>
            <w:r>
              <w:rPr>
                <w:b/>
              </w:rPr>
              <w:t>Total</w:t>
            </w:r>
          </w:p>
        </w:tc>
        <w:tc>
          <w:tcPr>
            <w:tcW w:w="5472" w:type="dxa"/>
            <w:gridSpan w:val="4"/>
            <w:shd w:val="clear" w:color="auto" w:fill="D9D9D9" w:themeFill="background1" w:themeFillShade="D9"/>
          </w:tcPr>
          <w:p w:rsidR="00C56567" w:rsidRDefault="00B931E6" w:rsidP="00A76527">
            <w:pPr>
              <w:keepNext/>
              <w:widowControl w:val="0"/>
              <w:shd w:val="clear" w:color="auto" w:fill="D9D9D9" w:themeFill="background1" w:themeFillShade="D9"/>
              <w:spacing w:after="0" w:line="240" w:lineRule="auto"/>
              <w:jc w:val="center"/>
              <w:rPr>
                <w:b/>
              </w:rPr>
            </w:pPr>
            <w:r>
              <w:rPr>
                <w:b/>
              </w:rPr>
              <w:t>Minority Business Enterprises</w:t>
            </w:r>
          </w:p>
        </w:tc>
        <w:tc>
          <w:tcPr>
            <w:tcW w:w="1368" w:type="dxa"/>
            <w:vMerge w:val="restart"/>
            <w:shd w:val="clear" w:color="auto" w:fill="D9D9D9" w:themeFill="background1" w:themeFillShade="D9"/>
          </w:tcPr>
          <w:p w:rsidR="00C56567" w:rsidRDefault="00B931E6" w:rsidP="00A76527">
            <w:pPr>
              <w:keepNext/>
              <w:widowControl w:val="0"/>
              <w:shd w:val="clear" w:color="auto" w:fill="D9D9D9" w:themeFill="background1" w:themeFillShade="D9"/>
              <w:spacing w:after="0" w:line="240" w:lineRule="auto"/>
              <w:jc w:val="center"/>
              <w:rPr>
                <w:b/>
              </w:rPr>
            </w:pPr>
            <w:r>
              <w:rPr>
                <w:b/>
              </w:rPr>
              <w:t>White Non-Hispanic</w:t>
            </w:r>
          </w:p>
        </w:tc>
      </w:tr>
      <w:tr w:rsidR="00C56567" w:rsidTr="00A76527">
        <w:trPr>
          <w:cantSplit/>
        </w:trPr>
        <w:tc>
          <w:tcPr>
            <w:tcW w:w="1368" w:type="dxa"/>
            <w:vMerge/>
            <w:shd w:val="clear" w:color="auto" w:fill="D9D9D9" w:themeFill="background1" w:themeFillShade="D9"/>
          </w:tcPr>
          <w:p w:rsidR="00C56567" w:rsidRDefault="00C56567">
            <w:pPr>
              <w:keepNext/>
              <w:widowControl w:val="0"/>
              <w:spacing w:after="0" w:line="240" w:lineRule="auto"/>
              <w:rPr>
                <w:b/>
              </w:rPr>
            </w:pPr>
          </w:p>
        </w:tc>
        <w:tc>
          <w:tcPr>
            <w:tcW w:w="1368" w:type="dxa"/>
            <w:vMerge/>
          </w:tcPr>
          <w:p w:rsidR="00C56567" w:rsidRDefault="00C56567">
            <w:pPr>
              <w:keepNext/>
              <w:widowControl w:val="0"/>
              <w:spacing w:after="0" w:line="240" w:lineRule="auto"/>
              <w:rPr>
                <w:b/>
              </w:rPr>
            </w:pPr>
          </w:p>
        </w:tc>
        <w:tc>
          <w:tcPr>
            <w:tcW w:w="1368" w:type="dxa"/>
            <w:shd w:val="clear" w:color="auto" w:fill="D9D9D9" w:themeFill="background1" w:themeFillShade="D9"/>
          </w:tcPr>
          <w:p w:rsidR="00C56567" w:rsidRDefault="00B931E6">
            <w:pPr>
              <w:keepNext/>
              <w:spacing w:after="0" w:line="240" w:lineRule="auto"/>
              <w:jc w:val="center"/>
              <w:rPr>
                <w:b/>
              </w:rPr>
            </w:pPr>
            <w:r>
              <w:rPr>
                <w:b/>
              </w:rPr>
              <w:t>Alaskan Native or American Indian</w:t>
            </w:r>
          </w:p>
        </w:tc>
        <w:tc>
          <w:tcPr>
            <w:tcW w:w="1368" w:type="dxa"/>
            <w:shd w:val="clear" w:color="auto" w:fill="D9D9D9" w:themeFill="background1" w:themeFillShade="D9"/>
          </w:tcPr>
          <w:p w:rsidR="00C56567" w:rsidRDefault="00B931E6">
            <w:pPr>
              <w:keepNext/>
              <w:widowControl w:val="0"/>
              <w:spacing w:after="0" w:line="240" w:lineRule="auto"/>
              <w:jc w:val="center"/>
              <w:rPr>
                <w:b/>
              </w:rPr>
            </w:pPr>
            <w:r>
              <w:rPr>
                <w:b/>
              </w:rPr>
              <w:t>Asian or Pacific Islander</w:t>
            </w:r>
          </w:p>
        </w:tc>
        <w:tc>
          <w:tcPr>
            <w:tcW w:w="1368" w:type="dxa"/>
            <w:shd w:val="clear" w:color="auto" w:fill="D9D9D9" w:themeFill="background1" w:themeFillShade="D9"/>
          </w:tcPr>
          <w:p w:rsidR="00C56567" w:rsidRDefault="00B931E6">
            <w:pPr>
              <w:keepNext/>
              <w:widowControl w:val="0"/>
              <w:spacing w:after="0" w:line="240" w:lineRule="auto"/>
              <w:jc w:val="center"/>
              <w:rPr>
                <w:b/>
              </w:rPr>
            </w:pPr>
            <w:r>
              <w:rPr>
                <w:b/>
              </w:rPr>
              <w:t>Black Non-Hispanic</w:t>
            </w:r>
          </w:p>
        </w:tc>
        <w:tc>
          <w:tcPr>
            <w:tcW w:w="1368" w:type="dxa"/>
            <w:shd w:val="clear" w:color="auto" w:fill="D9D9D9" w:themeFill="background1" w:themeFillShade="D9"/>
          </w:tcPr>
          <w:p w:rsidR="00C56567" w:rsidRDefault="00B931E6">
            <w:pPr>
              <w:keepNext/>
              <w:widowControl w:val="0"/>
              <w:spacing w:after="0" w:line="240" w:lineRule="auto"/>
              <w:jc w:val="center"/>
              <w:rPr>
                <w:b/>
              </w:rPr>
            </w:pPr>
            <w:r>
              <w:rPr>
                <w:b/>
              </w:rPr>
              <w:t>Hispanic</w:t>
            </w:r>
          </w:p>
        </w:tc>
        <w:tc>
          <w:tcPr>
            <w:tcW w:w="1368" w:type="dxa"/>
            <w:vMerge/>
            <w:shd w:val="clear" w:color="auto" w:fill="D9D9D9" w:themeFill="background1" w:themeFillShade="D9"/>
          </w:tcPr>
          <w:p w:rsidR="00C56567" w:rsidRDefault="00C56567">
            <w:pPr>
              <w:keepNext/>
              <w:widowControl w:val="0"/>
              <w:spacing w:after="0" w:line="240" w:lineRule="auto"/>
              <w:jc w:val="center"/>
              <w:rPr>
                <w:b/>
              </w:rPr>
            </w:pPr>
          </w:p>
        </w:tc>
      </w:tr>
    </w:tbl>
    <w:p w:rsidR="00C56567" w:rsidRDefault="00C56567">
      <w:pPr>
        <w:keepNext/>
        <w:widowControl w:val="0"/>
        <w:spacing w:after="0" w:line="240" w:lineRule="auto"/>
        <w:rPr>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70"/>
        <w:gridCol w:w="1370"/>
        <w:gridCol w:w="1370"/>
        <w:gridCol w:w="1370"/>
        <w:gridCol w:w="1370"/>
        <w:gridCol w:w="1370"/>
        <w:gridCol w:w="1370"/>
      </w:tblGrid>
      <w:tr w:rsidR="00C56567">
        <w:trPr>
          <w:cantSplit/>
        </w:trPr>
        <w:tc>
          <w:tcPr>
            <w:tcW w:w="9576" w:type="dxa"/>
            <w:gridSpan w:val="7"/>
          </w:tcPr>
          <w:p w:rsidR="00C56567" w:rsidRDefault="00B931E6">
            <w:pPr>
              <w:keepNext/>
              <w:widowControl w:val="0"/>
              <w:spacing w:after="0" w:line="240" w:lineRule="auto"/>
              <w:rPr>
                <w:b/>
              </w:rPr>
            </w:pPr>
            <w:r>
              <w:rPr>
                <w:b/>
              </w:rPr>
              <w:t>Contracts</w:t>
            </w:r>
          </w:p>
        </w:tc>
      </w:tr>
      <w:tr w:rsidR="00C56567">
        <w:trPr>
          <w:cantSplit/>
          <w:hidden/>
        </w:trPr>
        <w:tc>
          <w:tcPr>
            <w:tcW w:w="1368" w:type="dxa"/>
          </w:tcPr>
          <w:p w:rsidR="00C56567" w:rsidRDefault="00C56567">
            <w:pPr>
              <w:keepNext/>
              <w:widowControl w:val="0"/>
              <w:spacing w:after="0" w:line="240" w:lineRule="auto"/>
              <w:rPr>
                <w:b/>
                <w:vanish/>
              </w:rPr>
            </w:pPr>
          </w:p>
        </w:tc>
        <w:tc>
          <w:tcPr>
            <w:tcW w:w="1368" w:type="dxa"/>
          </w:tcPr>
          <w:p w:rsidR="00C56567" w:rsidRDefault="00C56567">
            <w:pPr>
              <w:keepNext/>
              <w:widowControl w:val="0"/>
              <w:spacing w:after="0" w:line="240" w:lineRule="auto"/>
              <w:rPr>
                <w:b/>
                <w:vanish/>
              </w:rPr>
            </w:pPr>
          </w:p>
        </w:tc>
        <w:tc>
          <w:tcPr>
            <w:tcW w:w="1368" w:type="dxa"/>
          </w:tcPr>
          <w:p w:rsidR="00C56567" w:rsidRDefault="00C56567">
            <w:pPr>
              <w:keepNext/>
              <w:widowControl w:val="0"/>
              <w:spacing w:after="0" w:line="240" w:lineRule="auto"/>
              <w:rPr>
                <w:b/>
                <w:vanish/>
              </w:rPr>
            </w:pPr>
          </w:p>
        </w:tc>
        <w:tc>
          <w:tcPr>
            <w:tcW w:w="1368" w:type="dxa"/>
          </w:tcPr>
          <w:p w:rsidR="00C56567" w:rsidRDefault="00C56567">
            <w:pPr>
              <w:keepNext/>
              <w:widowControl w:val="0"/>
              <w:spacing w:after="0" w:line="240" w:lineRule="auto"/>
              <w:rPr>
                <w:b/>
                <w:vanish/>
              </w:rPr>
            </w:pPr>
          </w:p>
        </w:tc>
        <w:tc>
          <w:tcPr>
            <w:tcW w:w="1368" w:type="dxa"/>
          </w:tcPr>
          <w:p w:rsidR="00C56567" w:rsidRDefault="00C56567">
            <w:pPr>
              <w:keepNext/>
              <w:widowControl w:val="0"/>
              <w:spacing w:after="0" w:line="240" w:lineRule="auto"/>
              <w:rPr>
                <w:b/>
                <w:vanish/>
              </w:rPr>
            </w:pPr>
          </w:p>
        </w:tc>
        <w:tc>
          <w:tcPr>
            <w:tcW w:w="1368" w:type="dxa"/>
          </w:tcPr>
          <w:p w:rsidR="00C56567" w:rsidRDefault="00C56567">
            <w:pPr>
              <w:keepNext/>
              <w:widowControl w:val="0"/>
              <w:spacing w:after="0" w:line="240" w:lineRule="auto"/>
              <w:rPr>
                <w:b/>
                <w:vanish/>
              </w:rPr>
            </w:pPr>
          </w:p>
        </w:tc>
        <w:tc>
          <w:tcPr>
            <w:tcW w:w="1368" w:type="dxa"/>
          </w:tcPr>
          <w:p w:rsidR="00C56567" w:rsidRDefault="00C56567">
            <w:pPr>
              <w:keepNext/>
              <w:widowControl w:val="0"/>
              <w:spacing w:after="0" w:line="240" w:lineRule="auto"/>
              <w:rPr>
                <w:b/>
                <w:vanish/>
              </w:rPr>
            </w:pPr>
          </w:p>
        </w:tc>
      </w:tr>
      <w:tr w:rsidR="00C56567">
        <w:trPr>
          <w:cantSplit/>
        </w:trPr>
        <w:tc>
          <w:tcPr>
            <w:tcW w:w="1368" w:type="dxa"/>
          </w:tcPr>
          <w:p w:rsidR="00C56567" w:rsidRDefault="00B931E6">
            <w:pPr>
              <w:keepNext/>
              <w:widowControl w:val="0"/>
              <w:spacing w:after="0" w:line="240" w:lineRule="auto"/>
            </w:pPr>
            <w:r>
              <w:t>Number</w:t>
            </w:r>
          </w:p>
        </w:tc>
        <w:tc>
          <w:tcPr>
            <w:tcW w:w="1368" w:type="dxa"/>
          </w:tcPr>
          <w:p w:rsidR="00C56567" w:rsidRDefault="00C56567">
            <w:pPr>
              <w:keepNext/>
              <w:widowControl w:val="0"/>
              <w:spacing w:after="0" w:line="240" w:lineRule="auto"/>
            </w:pPr>
          </w:p>
        </w:tc>
        <w:tc>
          <w:tcPr>
            <w:tcW w:w="1368" w:type="dxa"/>
          </w:tcPr>
          <w:p w:rsidR="00C56567" w:rsidRDefault="00C636B7">
            <w:pPr>
              <w:keepNext/>
              <w:widowControl w:val="0"/>
              <w:spacing w:after="0" w:line="240" w:lineRule="auto"/>
            </w:pPr>
            <w:r>
              <w:t>0</w:t>
            </w:r>
          </w:p>
        </w:tc>
        <w:tc>
          <w:tcPr>
            <w:tcW w:w="1368" w:type="dxa"/>
          </w:tcPr>
          <w:p w:rsidR="00C56567" w:rsidRDefault="00C636B7">
            <w:pPr>
              <w:keepNext/>
              <w:widowControl w:val="0"/>
              <w:spacing w:after="0" w:line="240" w:lineRule="auto"/>
            </w:pPr>
            <w:r>
              <w:t>0</w:t>
            </w:r>
          </w:p>
        </w:tc>
        <w:tc>
          <w:tcPr>
            <w:tcW w:w="1368" w:type="dxa"/>
          </w:tcPr>
          <w:p w:rsidR="00C56567" w:rsidRDefault="00C636B7">
            <w:pPr>
              <w:keepNext/>
              <w:widowControl w:val="0"/>
              <w:spacing w:after="0" w:line="240" w:lineRule="auto"/>
            </w:pPr>
            <w:r>
              <w:t>0</w:t>
            </w:r>
          </w:p>
        </w:tc>
        <w:tc>
          <w:tcPr>
            <w:tcW w:w="1368" w:type="dxa"/>
          </w:tcPr>
          <w:p w:rsidR="00C56567" w:rsidRDefault="00C636B7">
            <w:pPr>
              <w:keepNext/>
              <w:widowControl w:val="0"/>
              <w:spacing w:after="0" w:line="240" w:lineRule="auto"/>
            </w:pPr>
            <w:r>
              <w:t>0</w:t>
            </w:r>
          </w:p>
        </w:tc>
        <w:tc>
          <w:tcPr>
            <w:tcW w:w="1368" w:type="dxa"/>
          </w:tcPr>
          <w:p w:rsidR="00C56567" w:rsidRDefault="00C636B7">
            <w:pPr>
              <w:keepNext/>
              <w:widowControl w:val="0"/>
              <w:spacing w:after="0" w:line="240" w:lineRule="auto"/>
            </w:pPr>
            <w:r>
              <w:t>4</w:t>
            </w:r>
          </w:p>
        </w:tc>
      </w:tr>
      <w:tr w:rsidR="00C56567">
        <w:trPr>
          <w:cantSplit/>
        </w:trPr>
        <w:tc>
          <w:tcPr>
            <w:tcW w:w="1368" w:type="dxa"/>
          </w:tcPr>
          <w:p w:rsidR="00C56567" w:rsidRDefault="00B931E6">
            <w:pPr>
              <w:keepNext/>
              <w:widowControl w:val="0"/>
              <w:spacing w:after="0" w:line="240" w:lineRule="auto"/>
            </w:pPr>
            <w:r>
              <w:t>Dollar Amount</w:t>
            </w:r>
          </w:p>
        </w:tc>
        <w:tc>
          <w:tcPr>
            <w:tcW w:w="1368" w:type="dxa"/>
          </w:tcPr>
          <w:p w:rsidR="00C56567" w:rsidRDefault="00E76B4C">
            <w:pPr>
              <w:keepNext/>
              <w:widowControl w:val="0"/>
              <w:spacing w:after="0" w:line="240" w:lineRule="auto"/>
            </w:pPr>
            <w:r>
              <w:t>$390,762</w:t>
            </w:r>
          </w:p>
        </w:tc>
        <w:tc>
          <w:tcPr>
            <w:tcW w:w="1368" w:type="dxa"/>
          </w:tcPr>
          <w:p w:rsidR="00C56567" w:rsidRDefault="00C56567">
            <w:pPr>
              <w:keepNext/>
              <w:widowControl w:val="0"/>
              <w:spacing w:after="0" w:line="240" w:lineRule="auto"/>
            </w:pPr>
          </w:p>
        </w:tc>
        <w:tc>
          <w:tcPr>
            <w:tcW w:w="1368" w:type="dxa"/>
          </w:tcPr>
          <w:p w:rsidR="00C56567" w:rsidRDefault="00C56567">
            <w:pPr>
              <w:keepNext/>
              <w:widowControl w:val="0"/>
              <w:spacing w:after="0" w:line="240" w:lineRule="auto"/>
            </w:pPr>
          </w:p>
        </w:tc>
        <w:tc>
          <w:tcPr>
            <w:tcW w:w="1368" w:type="dxa"/>
          </w:tcPr>
          <w:p w:rsidR="00C56567" w:rsidRDefault="00D20157">
            <w:pPr>
              <w:keepNext/>
              <w:widowControl w:val="0"/>
              <w:spacing w:after="0" w:line="240" w:lineRule="auto"/>
            </w:pPr>
            <w:r>
              <w:t>$24,443.65</w:t>
            </w:r>
          </w:p>
        </w:tc>
        <w:tc>
          <w:tcPr>
            <w:tcW w:w="1368" w:type="dxa"/>
          </w:tcPr>
          <w:p w:rsidR="00C56567" w:rsidRDefault="00C56567">
            <w:pPr>
              <w:keepNext/>
              <w:widowControl w:val="0"/>
              <w:spacing w:after="0" w:line="240" w:lineRule="auto"/>
            </w:pPr>
          </w:p>
        </w:tc>
        <w:tc>
          <w:tcPr>
            <w:tcW w:w="1368" w:type="dxa"/>
          </w:tcPr>
          <w:p w:rsidR="00C56567" w:rsidRDefault="00D20157">
            <w:pPr>
              <w:keepNext/>
              <w:widowControl w:val="0"/>
              <w:spacing w:after="0" w:line="240" w:lineRule="auto"/>
            </w:pPr>
            <w:r>
              <w:t>$366,318.35</w:t>
            </w:r>
          </w:p>
        </w:tc>
      </w:tr>
    </w:tbl>
    <w:p w:rsidR="00C56567" w:rsidRDefault="00C56567">
      <w:pPr>
        <w:keepNext/>
        <w:widowControl w:val="0"/>
        <w:spacing w:after="0" w:line="240" w:lineRule="auto"/>
        <w:rPr>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70"/>
        <w:gridCol w:w="1370"/>
        <w:gridCol w:w="1370"/>
        <w:gridCol w:w="1370"/>
        <w:gridCol w:w="1370"/>
        <w:gridCol w:w="1370"/>
        <w:gridCol w:w="1370"/>
      </w:tblGrid>
      <w:tr w:rsidR="00C56567">
        <w:trPr>
          <w:cantSplit/>
        </w:trPr>
        <w:tc>
          <w:tcPr>
            <w:tcW w:w="9576" w:type="dxa"/>
            <w:gridSpan w:val="7"/>
          </w:tcPr>
          <w:p w:rsidR="00C56567" w:rsidRDefault="00B931E6">
            <w:pPr>
              <w:keepNext/>
              <w:widowControl w:val="0"/>
              <w:spacing w:after="0" w:line="240" w:lineRule="auto"/>
              <w:rPr>
                <w:b/>
              </w:rPr>
            </w:pPr>
            <w:r>
              <w:rPr>
                <w:b/>
              </w:rPr>
              <w:t>Sub-Contracts</w:t>
            </w:r>
          </w:p>
        </w:tc>
      </w:tr>
      <w:tr w:rsidR="00C56567">
        <w:trPr>
          <w:cantSplit/>
          <w:hidden/>
        </w:trPr>
        <w:tc>
          <w:tcPr>
            <w:tcW w:w="1368" w:type="dxa"/>
          </w:tcPr>
          <w:p w:rsidR="00C56567" w:rsidRDefault="00C56567">
            <w:pPr>
              <w:keepNext/>
              <w:widowControl w:val="0"/>
              <w:spacing w:after="0" w:line="240" w:lineRule="auto"/>
              <w:rPr>
                <w:b/>
                <w:vanish/>
              </w:rPr>
            </w:pPr>
          </w:p>
        </w:tc>
        <w:tc>
          <w:tcPr>
            <w:tcW w:w="1368" w:type="dxa"/>
          </w:tcPr>
          <w:p w:rsidR="00C56567" w:rsidRDefault="00C56567">
            <w:pPr>
              <w:keepNext/>
              <w:widowControl w:val="0"/>
              <w:spacing w:after="0" w:line="240" w:lineRule="auto"/>
              <w:rPr>
                <w:b/>
                <w:vanish/>
              </w:rPr>
            </w:pPr>
          </w:p>
        </w:tc>
        <w:tc>
          <w:tcPr>
            <w:tcW w:w="1368" w:type="dxa"/>
          </w:tcPr>
          <w:p w:rsidR="00C56567" w:rsidRDefault="00C56567">
            <w:pPr>
              <w:keepNext/>
              <w:widowControl w:val="0"/>
              <w:spacing w:after="0" w:line="240" w:lineRule="auto"/>
              <w:rPr>
                <w:b/>
                <w:vanish/>
              </w:rPr>
            </w:pPr>
          </w:p>
        </w:tc>
        <w:tc>
          <w:tcPr>
            <w:tcW w:w="1368" w:type="dxa"/>
          </w:tcPr>
          <w:p w:rsidR="00C56567" w:rsidRDefault="00C56567">
            <w:pPr>
              <w:keepNext/>
              <w:widowControl w:val="0"/>
              <w:spacing w:after="0" w:line="240" w:lineRule="auto"/>
              <w:rPr>
                <w:b/>
                <w:vanish/>
              </w:rPr>
            </w:pPr>
          </w:p>
        </w:tc>
        <w:tc>
          <w:tcPr>
            <w:tcW w:w="1368" w:type="dxa"/>
          </w:tcPr>
          <w:p w:rsidR="00C56567" w:rsidRDefault="00C56567">
            <w:pPr>
              <w:keepNext/>
              <w:widowControl w:val="0"/>
              <w:spacing w:after="0" w:line="240" w:lineRule="auto"/>
              <w:rPr>
                <w:b/>
                <w:vanish/>
              </w:rPr>
            </w:pPr>
          </w:p>
        </w:tc>
        <w:tc>
          <w:tcPr>
            <w:tcW w:w="1368" w:type="dxa"/>
          </w:tcPr>
          <w:p w:rsidR="00C56567" w:rsidRDefault="00C56567">
            <w:pPr>
              <w:keepNext/>
              <w:widowControl w:val="0"/>
              <w:spacing w:after="0" w:line="240" w:lineRule="auto"/>
              <w:rPr>
                <w:b/>
                <w:vanish/>
              </w:rPr>
            </w:pPr>
          </w:p>
        </w:tc>
        <w:tc>
          <w:tcPr>
            <w:tcW w:w="1368" w:type="dxa"/>
          </w:tcPr>
          <w:p w:rsidR="00C56567" w:rsidRDefault="00C56567">
            <w:pPr>
              <w:keepNext/>
              <w:widowControl w:val="0"/>
              <w:spacing w:after="0" w:line="240" w:lineRule="auto"/>
              <w:rPr>
                <w:b/>
                <w:vanish/>
              </w:rPr>
            </w:pPr>
          </w:p>
        </w:tc>
      </w:tr>
      <w:tr w:rsidR="00C56567">
        <w:trPr>
          <w:cantSplit/>
        </w:trPr>
        <w:tc>
          <w:tcPr>
            <w:tcW w:w="1368" w:type="dxa"/>
          </w:tcPr>
          <w:p w:rsidR="00C56567" w:rsidRDefault="00B931E6">
            <w:pPr>
              <w:keepNext/>
              <w:widowControl w:val="0"/>
              <w:spacing w:after="0" w:line="240" w:lineRule="auto"/>
            </w:pPr>
            <w:r>
              <w:t>Number</w:t>
            </w:r>
          </w:p>
        </w:tc>
        <w:tc>
          <w:tcPr>
            <w:tcW w:w="1368" w:type="dxa"/>
          </w:tcPr>
          <w:p w:rsidR="00C56567" w:rsidRDefault="00C56567">
            <w:pPr>
              <w:keepNext/>
              <w:widowControl w:val="0"/>
              <w:spacing w:after="0" w:line="240" w:lineRule="auto"/>
            </w:pPr>
          </w:p>
        </w:tc>
        <w:tc>
          <w:tcPr>
            <w:tcW w:w="1368" w:type="dxa"/>
          </w:tcPr>
          <w:p w:rsidR="00C56567" w:rsidRDefault="00C636B7">
            <w:pPr>
              <w:keepNext/>
              <w:widowControl w:val="0"/>
              <w:spacing w:after="0" w:line="240" w:lineRule="auto"/>
            </w:pPr>
            <w:r>
              <w:t>0</w:t>
            </w:r>
          </w:p>
        </w:tc>
        <w:tc>
          <w:tcPr>
            <w:tcW w:w="1368" w:type="dxa"/>
          </w:tcPr>
          <w:p w:rsidR="00C56567" w:rsidRDefault="00C636B7">
            <w:pPr>
              <w:keepNext/>
              <w:widowControl w:val="0"/>
              <w:spacing w:after="0" w:line="240" w:lineRule="auto"/>
            </w:pPr>
            <w:r>
              <w:t>0</w:t>
            </w:r>
          </w:p>
        </w:tc>
        <w:tc>
          <w:tcPr>
            <w:tcW w:w="1368" w:type="dxa"/>
          </w:tcPr>
          <w:p w:rsidR="00C56567" w:rsidRDefault="00C636B7">
            <w:pPr>
              <w:keepNext/>
              <w:widowControl w:val="0"/>
              <w:spacing w:after="0" w:line="240" w:lineRule="auto"/>
            </w:pPr>
            <w:r>
              <w:t>0</w:t>
            </w:r>
          </w:p>
        </w:tc>
        <w:tc>
          <w:tcPr>
            <w:tcW w:w="1368" w:type="dxa"/>
          </w:tcPr>
          <w:p w:rsidR="00C56567" w:rsidRDefault="00C636B7">
            <w:pPr>
              <w:keepNext/>
              <w:widowControl w:val="0"/>
              <w:spacing w:after="0" w:line="240" w:lineRule="auto"/>
            </w:pPr>
            <w:r>
              <w:t>0</w:t>
            </w:r>
          </w:p>
        </w:tc>
        <w:tc>
          <w:tcPr>
            <w:tcW w:w="1368" w:type="dxa"/>
          </w:tcPr>
          <w:p w:rsidR="00C56567" w:rsidRDefault="00C636B7">
            <w:pPr>
              <w:keepNext/>
              <w:widowControl w:val="0"/>
              <w:spacing w:after="0" w:line="240" w:lineRule="auto"/>
            </w:pPr>
            <w:r>
              <w:t>0</w:t>
            </w:r>
          </w:p>
        </w:tc>
      </w:tr>
      <w:tr w:rsidR="00C56567">
        <w:trPr>
          <w:cantSplit/>
        </w:trPr>
        <w:tc>
          <w:tcPr>
            <w:tcW w:w="1368" w:type="dxa"/>
          </w:tcPr>
          <w:p w:rsidR="00C56567" w:rsidRDefault="00B931E6">
            <w:pPr>
              <w:keepNext/>
              <w:widowControl w:val="0"/>
              <w:spacing w:after="0" w:line="240" w:lineRule="auto"/>
            </w:pPr>
            <w:r>
              <w:t>Dollar Amount</w:t>
            </w:r>
          </w:p>
        </w:tc>
        <w:tc>
          <w:tcPr>
            <w:tcW w:w="1368" w:type="dxa"/>
          </w:tcPr>
          <w:p w:rsidR="00C56567" w:rsidRDefault="00C56567">
            <w:pPr>
              <w:keepNext/>
              <w:widowControl w:val="0"/>
              <w:spacing w:after="0" w:line="240" w:lineRule="auto"/>
            </w:pPr>
          </w:p>
        </w:tc>
        <w:tc>
          <w:tcPr>
            <w:tcW w:w="1368" w:type="dxa"/>
          </w:tcPr>
          <w:p w:rsidR="00C56567" w:rsidRDefault="00C56567">
            <w:pPr>
              <w:keepNext/>
              <w:widowControl w:val="0"/>
              <w:spacing w:after="0" w:line="240" w:lineRule="auto"/>
            </w:pPr>
          </w:p>
        </w:tc>
        <w:tc>
          <w:tcPr>
            <w:tcW w:w="1368" w:type="dxa"/>
          </w:tcPr>
          <w:p w:rsidR="00C56567" w:rsidRDefault="00C56567">
            <w:pPr>
              <w:keepNext/>
              <w:widowControl w:val="0"/>
              <w:spacing w:after="0" w:line="240" w:lineRule="auto"/>
            </w:pPr>
          </w:p>
        </w:tc>
        <w:tc>
          <w:tcPr>
            <w:tcW w:w="1368" w:type="dxa"/>
          </w:tcPr>
          <w:p w:rsidR="00C56567" w:rsidRDefault="00C56567">
            <w:pPr>
              <w:keepNext/>
              <w:widowControl w:val="0"/>
              <w:spacing w:after="0" w:line="240" w:lineRule="auto"/>
            </w:pPr>
          </w:p>
        </w:tc>
        <w:tc>
          <w:tcPr>
            <w:tcW w:w="1368" w:type="dxa"/>
          </w:tcPr>
          <w:p w:rsidR="00C56567" w:rsidRDefault="00C56567">
            <w:pPr>
              <w:keepNext/>
              <w:widowControl w:val="0"/>
              <w:spacing w:after="0" w:line="240" w:lineRule="auto"/>
            </w:pPr>
          </w:p>
        </w:tc>
        <w:tc>
          <w:tcPr>
            <w:tcW w:w="1368" w:type="dxa"/>
          </w:tcPr>
          <w:p w:rsidR="00C56567" w:rsidRDefault="00C56567">
            <w:pPr>
              <w:keepNext/>
              <w:widowControl w:val="0"/>
              <w:spacing w:after="0" w:line="240" w:lineRule="auto"/>
            </w:pPr>
          </w:p>
        </w:tc>
      </w:tr>
    </w:tbl>
    <w:p w:rsidR="00C56567" w:rsidRDefault="00C56567">
      <w:pPr>
        <w:widowControl w:val="0"/>
        <w:spacing w:after="0" w:line="240" w:lineRule="auto"/>
        <w:rPr>
          <w:b/>
          <w:vanish/>
          <w:sz w:val="24"/>
          <w:szCs w:val="24"/>
        </w:rPr>
      </w:pPr>
    </w:p>
    <w:tbl>
      <w:tblPr>
        <w:tblW w:w="286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72"/>
        <w:gridCol w:w="1371"/>
        <w:gridCol w:w="1371"/>
        <w:gridCol w:w="1371"/>
      </w:tblGrid>
      <w:tr w:rsidR="00C56567">
        <w:trPr>
          <w:cantSplit/>
        </w:trPr>
        <w:tc>
          <w:tcPr>
            <w:tcW w:w="1394" w:type="dxa"/>
          </w:tcPr>
          <w:p w:rsidR="00C56567" w:rsidRDefault="00C56567">
            <w:pPr>
              <w:keepNext/>
              <w:widowControl w:val="0"/>
              <w:spacing w:after="0" w:line="240" w:lineRule="auto"/>
              <w:rPr>
                <w:b/>
              </w:rPr>
            </w:pPr>
          </w:p>
        </w:tc>
        <w:tc>
          <w:tcPr>
            <w:tcW w:w="1393" w:type="dxa"/>
          </w:tcPr>
          <w:p w:rsidR="00C56567" w:rsidRDefault="00B931E6">
            <w:pPr>
              <w:keepNext/>
              <w:widowControl w:val="0"/>
              <w:spacing w:after="0" w:line="240" w:lineRule="auto"/>
              <w:jc w:val="center"/>
              <w:rPr>
                <w:b/>
              </w:rPr>
            </w:pPr>
            <w:r>
              <w:rPr>
                <w:b/>
              </w:rPr>
              <w:t>Total</w:t>
            </w:r>
          </w:p>
        </w:tc>
        <w:tc>
          <w:tcPr>
            <w:tcW w:w="1393" w:type="dxa"/>
          </w:tcPr>
          <w:p w:rsidR="00C56567" w:rsidRDefault="00B931E6">
            <w:pPr>
              <w:keepNext/>
              <w:widowControl w:val="0"/>
              <w:spacing w:after="0" w:line="240" w:lineRule="auto"/>
              <w:jc w:val="center"/>
              <w:rPr>
                <w:b/>
                <w:szCs w:val="24"/>
              </w:rPr>
            </w:pPr>
            <w:r>
              <w:rPr>
                <w:b/>
              </w:rPr>
              <w:t>Women Business Enterprises</w:t>
            </w:r>
          </w:p>
        </w:tc>
        <w:tc>
          <w:tcPr>
            <w:tcW w:w="1393" w:type="dxa"/>
          </w:tcPr>
          <w:p w:rsidR="00C56567" w:rsidRDefault="00B931E6">
            <w:pPr>
              <w:keepNext/>
              <w:widowControl w:val="0"/>
              <w:spacing w:after="0" w:line="240" w:lineRule="auto"/>
              <w:jc w:val="center"/>
              <w:rPr>
                <w:b/>
                <w:szCs w:val="24"/>
              </w:rPr>
            </w:pPr>
            <w:r>
              <w:rPr>
                <w:b/>
              </w:rPr>
              <w:t>Male</w:t>
            </w:r>
          </w:p>
        </w:tc>
      </w:tr>
    </w:tbl>
    <w:p w:rsidR="00C56567" w:rsidRDefault="00C56567">
      <w:pPr>
        <w:keepNext/>
        <w:widowControl w:val="0"/>
        <w:spacing w:after="0" w:line="240" w:lineRule="auto"/>
        <w:rPr>
          <w:b/>
          <w:vanish/>
          <w:sz w:val="24"/>
          <w:szCs w:val="24"/>
        </w:rPr>
      </w:pPr>
    </w:p>
    <w:tbl>
      <w:tblPr>
        <w:tblW w:w="286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93"/>
        <w:gridCol w:w="1364"/>
        <w:gridCol w:w="1364"/>
        <w:gridCol w:w="1364"/>
      </w:tblGrid>
      <w:tr w:rsidR="00C56567">
        <w:trPr>
          <w:cantSplit/>
        </w:trPr>
        <w:tc>
          <w:tcPr>
            <w:tcW w:w="5485" w:type="dxa"/>
            <w:gridSpan w:val="4"/>
          </w:tcPr>
          <w:p w:rsidR="00C56567" w:rsidRDefault="00B931E6">
            <w:pPr>
              <w:keepNext/>
              <w:widowControl w:val="0"/>
              <w:spacing w:after="0" w:line="240" w:lineRule="auto"/>
              <w:rPr>
                <w:b/>
              </w:rPr>
            </w:pPr>
            <w:r>
              <w:rPr>
                <w:b/>
              </w:rPr>
              <w:t>Contracts</w:t>
            </w:r>
          </w:p>
        </w:tc>
      </w:tr>
      <w:tr w:rsidR="00C56567">
        <w:trPr>
          <w:cantSplit/>
          <w:hidden/>
        </w:trPr>
        <w:tc>
          <w:tcPr>
            <w:tcW w:w="1393" w:type="dxa"/>
          </w:tcPr>
          <w:p w:rsidR="00C56567" w:rsidRDefault="00C56567">
            <w:pPr>
              <w:keepNext/>
              <w:widowControl w:val="0"/>
              <w:spacing w:after="0" w:line="240" w:lineRule="auto"/>
              <w:rPr>
                <w:b/>
                <w:vanish/>
              </w:rPr>
            </w:pPr>
          </w:p>
        </w:tc>
        <w:tc>
          <w:tcPr>
            <w:tcW w:w="1364" w:type="dxa"/>
          </w:tcPr>
          <w:p w:rsidR="00C56567" w:rsidRDefault="00C56567">
            <w:pPr>
              <w:keepNext/>
              <w:widowControl w:val="0"/>
              <w:spacing w:after="0" w:line="240" w:lineRule="auto"/>
              <w:rPr>
                <w:b/>
                <w:vanish/>
              </w:rPr>
            </w:pPr>
          </w:p>
        </w:tc>
        <w:tc>
          <w:tcPr>
            <w:tcW w:w="1364" w:type="dxa"/>
          </w:tcPr>
          <w:p w:rsidR="00C56567" w:rsidRDefault="00C56567">
            <w:pPr>
              <w:keepNext/>
              <w:widowControl w:val="0"/>
              <w:spacing w:after="0" w:line="240" w:lineRule="auto"/>
              <w:rPr>
                <w:b/>
                <w:vanish/>
              </w:rPr>
            </w:pPr>
          </w:p>
        </w:tc>
        <w:tc>
          <w:tcPr>
            <w:tcW w:w="1364" w:type="dxa"/>
          </w:tcPr>
          <w:p w:rsidR="00C56567" w:rsidRDefault="00C56567">
            <w:pPr>
              <w:keepNext/>
              <w:widowControl w:val="0"/>
              <w:spacing w:after="0" w:line="240" w:lineRule="auto"/>
              <w:rPr>
                <w:b/>
                <w:vanish/>
              </w:rPr>
            </w:pPr>
          </w:p>
        </w:tc>
      </w:tr>
      <w:tr w:rsidR="00C56567">
        <w:trPr>
          <w:cantSplit/>
        </w:trPr>
        <w:tc>
          <w:tcPr>
            <w:tcW w:w="1393" w:type="dxa"/>
          </w:tcPr>
          <w:p w:rsidR="00C56567" w:rsidRDefault="00B931E6">
            <w:pPr>
              <w:keepNext/>
              <w:widowControl w:val="0"/>
              <w:spacing w:after="0" w:line="240" w:lineRule="auto"/>
              <w:rPr>
                <w:b/>
              </w:rPr>
            </w:pPr>
            <w:r>
              <w:t>Number</w:t>
            </w:r>
          </w:p>
        </w:tc>
        <w:tc>
          <w:tcPr>
            <w:tcW w:w="1364" w:type="dxa"/>
          </w:tcPr>
          <w:p w:rsidR="00C56567" w:rsidRDefault="00C56567">
            <w:pPr>
              <w:keepNext/>
              <w:widowControl w:val="0"/>
              <w:spacing w:after="0" w:line="240" w:lineRule="auto"/>
              <w:rPr>
                <w:b/>
              </w:rPr>
            </w:pPr>
          </w:p>
        </w:tc>
        <w:tc>
          <w:tcPr>
            <w:tcW w:w="1364" w:type="dxa"/>
          </w:tcPr>
          <w:p w:rsidR="00C56567" w:rsidRDefault="00C636B7">
            <w:pPr>
              <w:keepNext/>
              <w:widowControl w:val="0"/>
              <w:spacing w:after="0" w:line="240" w:lineRule="auto"/>
              <w:rPr>
                <w:b/>
              </w:rPr>
            </w:pPr>
            <w:r>
              <w:rPr>
                <w:b/>
              </w:rPr>
              <w:t>0</w:t>
            </w:r>
          </w:p>
        </w:tc>
        <w:tc>
          <w:tcPr>
            <w:tcW w:w="1364" w:type="dxa"/>
          </w:tcPr>
          <w:p w:rsidR="00C56567" w:rsidRDefault="00C636B7">
            <w:pPr>
              <w:keepNext/>
              <w:widowControl w:val="0"/>
              <w:spacing w:after="0" w:line="240" w:lineRule="auto"/>
              <w:rPr>
                <w:b/>
              </w:rPr>
            </w:pPr>
            <w:r>
              <w:rPr>
                <w:b/>
              </w:rPr>
              <w:t>4</w:t>
            </w:r>
          </w:p>
        </w:tc>
      </w:tr>
      <w:tr w:rsidR="00C56567">
        <w:trPr>
          <w:cantSplit/>
        </w:trPr>
        <w:tc>
          <w:tcPr>
            <w:tcW w:w="1393" w:type="dxa"/>
          </w:tcPr>
          <w:p w:rsidR="00C56567" w:rsidRDefault="00B931E6">
            <w:pPr>
              <w:keepNext/>
              <w:widowControl w:val="0"/>
              <w:spacing w:after="0" w:line="240" w:lineRule="auto"/>
            </w:pPr>
            <w:r>
              <w:t>Dollar Amount</w:t>
            </w:r>
          </w:p>
        </w:tc>
        <w:tc>
          <w:tcPr>
            <w:tcW w:w="1364" w:type="dxa"/>
          </w:tcPr>
          <w:p w:rsidR="00C56567" w:rsidRDefault="00C56567">
            <w:pPr>
              <w:keepNext/>
              <w:widowControl w:val="0"/>
              <w:spacing w:after="0" w:line="240" w:lineRule="auto"/>
              <w:rPr>
                <w:b/>
              </w:rPr>
            </w:pPr>
          </w:p>
        </w:tc>
        <w:tc>
          <w:tcPr>
            <w:tcW w:w="1364" w:type="dxa"/>
          </w:tcPr>
          <w:p w:rsidR="00C56567" w:rsidRDefault="00D20157">
            <w:pPr>
              <w:keepNext/>
              <w:widowControl w:val="0"/>
              <w:spacing w:after="0" w:line="240" w:lineRule="auto"/>
              <w:rPr>
                <w:b/>
              </w:rPr>
            </w:pPr>
            <w:r>
              <w:rPr>
                <w:b/>
              </w:rPr>
              <w:t>$9,840.95</w:t>
            </w:r>
          </w:p>
        </w:tc>
        <w:tc>
          <w:tcPr>
            <w:tcW w:w="1364" w:type="dxa"/>
          </w:tcPr>
          <w:p w:rsidR="00C56567" w:rsidRDefault="00D20157">
            <w:pPr>
              <w:keepNext/>
              <w:widowControl w:val="0"/>
              <w:spacing w:after="0" w:line="240" w:lineRule="auto"/>
              <w:rPr>
                <w:b/>
              </w:rPr>
            </w:pPr>
            <w:r>
              <w:rPr>
                <w:b/>
              </w:rPr>
              <w:t>$380,921.05</w:t>
            </w:r>
          </w:p>
        </w:tc>
      </w:tr>
    </w:tbl>
    <w:p w:rsidR="00C56567" w:rsidRDefault="00C56567">
      <w:pPr>
        <w:widowControl w:val="0"/>
        <w:spacing w:after="0" w:line="240" w:lineRule="auto"/>
        <w:rPr>
          <w:b/>
          <w:vanish/>
          <w:sz w:val="24"/>
          <w:szCs w:val="24"/>
        </w:rPr>
      </w:pPr>
    </w:p>
    <w:tbl>
      <w:tblPr>
        <w:tblW w:w="286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93"/>
        <w:gridCol w:w="1364"/>
        <w:gridCol w:w="1364"/>
        <w:gridCol w:w="1364"/>
      </w:tblGrid>
      <w:tr w:rsidR="00C56567">
        <w:trPr>
          <w:cantSplit/>
        </w:trPr>
        <w:tc>
          <w:tcPr>
            <w:tcW w:w="5485" w:type="dxa"/>
            <w:gridSpan w:val="4"/>
          </w:tcPr>
          <w:p w:rsidR="00C56567" w:rsidRDefault="00B931E6">
            <w:pPr>
              <w:keepNext/>
              <w:widowControl w:val="0"/>
              <w:spacing w:after="0" w:line="240" w:lineRule="auto"/>
              <w:rPr>
                <w:b/>
              </w:rPr>
            </w:pPr>
            <w:r>
              <w:rPr>
                <w:b/>
              </w:rPr>
              <w:t>Sub-Contracts</w:t>
            </w:r>
          </w:p>
        </w:tc>
      </w:tr>
      <w:tr w:rsidR="00C56567">
        <w:trPr>
          <w:cantSplit/>
          <w:hidden/>
        </w:trPr>
        <w:tc>
          <w:tcPr>
            <w:tcW w:w="1393" w:type="dxa"/>
          </w:tcPr>
          <w:p w:rsidR="00C56567" w:rsidRDefault="00C56567">
            <w:pPr>
              <w:keepNext/>
              <w:widowControl w:val="0"/>
              <w:spacing w:after="0" w:line="240" w:lineRule="auto"/>
              <w:rPr>
                <w:b/>
                <w:vanish/>
              </w:rPr>
            </w:pPr>
          </w:p>
        </w:tc>
        <w:tc>
          <w:tcPr>
            <w:tcW w:w="1364" w:type="dxa"/>
          </w:tcPr>
          <w:p w:rsidR="00C56567" w:rsidRDefault="00C56567">
            <w:pPr>
              <w:keepNext/>
              <w:widowControl w:val="0"/>
              <w:spacing w:after="0" w:line="240" w:lineRule="auto"/>
              <w:rPr>
                <w:b/>
                <w:vanish/>
              </w:rPr>
            </w:pPr>
          </w:p>
        </w:tc>
        <w:tc>
          <w:tcPr>
            <w:tcW w:w="1364" w:type="dxa"/>
          </w:tcPr>
          <w:p w:rsidR="00C56567" w:rsidRDefault="00C56567">
            <w:pPr>
              <w:keepNext/>
              <w:widowControl w:val="0"/>
              <w:spacing w:after="0" w:line="240" w:lineRule="auto"/>
              <w:rPr>
                <w:b/>
                <w:vanish/>
              </w:rPr>
            </w:pPr>
          </w:p>
        </w:tc>
        <w:tc>
          <w:tcPr>
            <w:tcW w:w="1364" w:type="dxa"/>
          </w:tcPr>
          <w:p w:rsidR="00C56567" w:rsidRDefault="00C56567">
            <w:pPr>
              <w:keepNext/>
              <w:widowControl w:val="0"/>
              <w:spacing w:after="0" w:line="240" w:lineRule="auto"/>
              <w:rPr>
                <w:b/>
                <w:vanish/>
              </w:rPr>
            </w:pPr>
          </w:p>
        </w:tc>
      </w:tr>
      <w:tr w:rsidR="00C56567">
        <w:trPr>
          <w:cantSplit/>
        </w:trPr>
        <w:tc>
          <w:tcPr>
            <w:tcW w:w="1393" w:type="dxa"/>
          </w:tcPr>
          <w:p w:rsidR="00C56567" w:rsidRDefault="00B931E6">
            <w:pPr>
              <w:keepNext/>
              <w:widowControl w:val="0"/>
              <w:spacing w:after="0" w:line="240" w:lineRule="auto"/>
              <w:rPr>
                <w:b/>
              </w:rPr>
            </w:pPr>
            <w:r>
              <w:t>Number</w:t>
            </w:r>
          </w:p>
        </w:tc>
        <w:tc>
          <w:tcPr>
            <w:tcW w:w="1364" w:type="dxa"/>
          </w:tcPr>
          <w:p w:rsidR="00C56567" w:rsidRDefault="00C56567">
            <w:pPr>
              <w:keepNext/>
              <w:widowControl w:val="0"/>
              <w:spacing w:after="0" w:line="240" w:lineRule="auto"/>
              <w:rPr>
                <w:b/>
              </w:rPr>
            </w:pPr>
          </w:p>
        </w:tc>
        <w:tc>
          <w:tcPr>
            <w:tcW w:w="1364" w:type="dxa"/>
          </w:tcPr>
          <w:p w:rsidR="00C56567" w:rsidRDefault="00C636B7">
            <w:pPr>
              <w:keepNext/>
              <w:widowControl w:val="0"/>
              <w:spacing w:after="0" w:line="240" w:lineRule="auto"/>
              <w:rPr>
                <w:b/>
              </w:rPr>
            </w:pPr>
            <w:r>
              <w:rPr>
                <w:b/>
              </w:rPr>
              <w:t>0</w:t>
            </w:r>
          </w:p>
        </w:tc>
        <w:tc>
          <w:tcPr>
            <w:tcW w:w="1364" w:type="dxa"/>
          </w:tcPr>
          <w:p w:rsidR="00C56567" w:rsidRDefault="00C636B7">
            <w:pPr>
              <w:keepNext/>
              <w:widowControl w:val="0"/>
              <w:spacing w:after="0" w:line="240" w:lineRule="auto"/>
              <w:rPr>
                <w:b/>
              </w:rPr>
            </w:pPr>
            <w:r>
              <w:rPr>
                <w:b/>
              </w:rPr>
              <w:t>0</w:t>
            </w:r>
          </w:p>
        </w:tc>
      </w:tr>
      <w:tr w:rsidR="00C56567">
        <w:trPr>
          <w:cantSplit/>
        </w:trPr>
        <w:tc>
          <w:tcPr>
            <w:tcW w:w="1393" w:type="dxa"/>
          </w:tcPr>
          <w:p w:rsidR="00C56567" w:rsidRDefault="00B931E6">
            <w:pPr>
              <w:keepNext/>
              <w:widowControl w:val="0"/>
              <w:spacing w:after="0" w:line="240" w:lineRule="auto"/>
            </w:pPr>
            <w:r>
              <w:t>Dollar Amount</w:t>
            </w:r>
          </w:p>
        </w:tc>
        <w:tc>
          <w:tcPr>
            <w:tcW w:w="1364" w:type="dxa"/>
          </w:tcPr>
          <w:p w:rsidR="00C56567" w:rsidRDefault="00C56567">
            <w:pPr>
              <w:keepNext/>
              <w:widowControl w:val="0"/>
              <w:spacing w:after="0" w:line="240" w:lineRule="auto"/>
              <w:rPr>
                <w:b/>
              </w:rPr>
            </w:pPr>
          </w:p>
        </w:tc>
        <w:tc>
          <w:tcPr>
            <w:tcW w:w="1364" w:type="dxa"/>
          </w:tcPr>
          <w:p w:rsidR="00C56567" w:rsidRDefault="00C56567">
            <w:pPr>
              <w:keepNext/>
              <w:widowControl w:val="0"/>
              <w:spacing w:after="0" w:line="240" w:lineRule="auto"/>
              <w:rPr>
                <w:b/>
              </w:rPr>
            </w:pPr>
          </w:p>
        </w:tc>
        <w:tc>
          <w:tcPr>
            <w:tcW w:w="1364" w:type="dxa"/>
          </w:tcPr>
          <w:p w:rsidR="00C56567" w:rsidRDefault="00C56567">
            <w:pPr>
              <w:keepNext/>
              <w:widowControl w:val="0"/>
              <w:spacing w:after="0" w:line="240" w:lineRule="auto"/>
              <w:rPr>
                <w:b/>
              </w:rPr>
            </w:pPr>
          </w:p>
        </w:tc>
      </w:tr>
    </w:tbl>
    <w:p w:rsidR="00C56567" w:rsidRDefault="00B931E6">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FB21A6">
        <w:rPr>
          <w:rFonts w:asciiTheme="minorHAnsi" w:hAnsiTheme="minorHAnsi"/>
          <w:noProof/>
        </w:rPr>
        <w:t>8</w:t>
      </w:r>
      <w:r>
        <w:rPr>
          <w:rFonts w:asciiTheme="minorHAnsi" w:hAnsiTheme="minorHAnsi"/>
        </w:rPr>
        <w:fldChar w:fldCharType="end"/>
      </w:r>
      <w:r>
        <w:rPr>
          <w:rFonts w:asciiTheme="minorHAnsi" w:hAnsiTheme="minorHAnsi"/>
        </w:rPr>
        <w:t xml:space="preserve"> – Minority Business and Women Business Enterprises</w:t>
      </w:r>
    </w:p>
    <w:p w:rsidR="00A76527" w:rsidRDefault="00A76527" w:rsidP="00A76527"/>
    <w:p w:rsidR="00A76527" w:rsidRDefault="00A76527" w:rsidP="00A76527"/>
    <w:p w:rsidR="00A76527" w:rsidRDefault="00A76527" w:rsidP="00A76527"/>
    <w:p w:rsidR="00A76527" w:rsidRDefault="00A76527" w:rsidP="00A76527"/>
    <w:p w:rsidR="00A76527" w:rsidRPr="00A76527" w:rsidRDefault="00A76527" w:rsidP="00A76527"/>
    <w:p w:rsidR="00C56567" w:rsidRDefault="00C56567">
      <w:pPr>
        <w:widowControl w:val="0"/>
        <w:spacing w:after="0" w:line="240" w:lineRule="auto"/>
        <w:rPr>
          <w:b/>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C56567" w:rsidTr="00A76527">
        <w:tc>
          <w:tcPr>
            <w:tcW w:w="9576" w:type="dxa"/>
            <w:shd w:val="clear" w:color="auto" w:fill="D9D9D9" w:themeFill="background1" w:themeFillShade="D9"/>
          </w:tcPr>
          <w:p w:rsidR="00C56567" w:rsidRDefault="00B931E6" w:rsidP="00A76527">
            <w:pPr>
              <w:keepNext/>
              <w:widowControl w:val="0"/>
              <w:shd w:val="clear" w:color="auto" w:fill="D9D9D9" w:themeFill="background1" w:themeFillShade="D9"/>
              <w:spacing w:after="0" w:line="240" w:lineRule="auto"/>
              <w:rPr>
                <w:b/>
                <w:szCs w:val="24"/>
              </w:rPr>
            </w:pPr>
            <w:r>
              <w:rPr>
                <w:b/>
              </w:rPr>
              <w:t xml:space="preserve">Minority Owners of Rental Property </w:t>
            </w:r>
            <w:r>
              <w:t>– Indicate the number of HOME assisted rental property owners and the total amount of HOME funds in these rental properties assisted</w:t>
            </w:r>
          </w:p>
        </w:tc>
      </w:tr>
    </w:tbl>
    <w:p w:rsidR="00C56567" w:rsidRDefault="00C56567" w:rsidP="00A76527">
      <w:pPr>
        <w:keepNext/>
        <w:widowControl w:val="0"/>
        <w:shd w:val="clear" w:color="auto" w:fill="D9D9D9" w:themeFill="background1" w:themeFillShade="D9"/>
        <w:spacing w:after="0" w:line="240" w:lineRule="auto"/>
        <w:rPr>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50"/>
        <w:gridCol w:w="1080"/>
        <w:gridCol w:w="1316"/>
        <w:gridCol w:w="1434"/>
        <w:gridCol w:w="1470"/>
        <w:gridCol w:w="1470"/>
        <w:gridCol w:w="1470"/>
      </w:tblGrid>
      <w:tr w:rsidR="00C56567" w:rsidTr="00A76527">
        <w:tc>
          <w:tcPr>
            <w:tcW w:w="1350" w:type="dxa"/>
            <w:vMerge w:val="restart"/>
            <w:shd w:val="clear" w:color="auto" w:fill="D9D9D9" w:themeFill="background1" w:themeFillShade="D9"/>
          </w:tcPr>
          <w:p w:rsidR="00C56567" w:rsidRDefault="00C56567" w:rsidP="00A76527">
            <w:pPr>
              <w:keepNext/>
              <w:widowControl w:val="0"/>
              <w:shd w:val="clear" w:color="auto" w:fill="D9D9D9" w:themeFill="background1" w:themeFillShade="D9"/>
              <w:spacing w:after="0" w:line="240" w:lineRule="auto"/>
              <w:jc w:val="center"/>
              <w:rPr>
                <w:b/>
              </w:rPr>
            </w:pPr>
          </w:p>
        </w:tc>
        <w:tc>
          <w:tcPr>
            <w:tcW w:w="1080" w:type="dxa"/>
            <w:vMerge w:val="restart"/>
            <w:shd w:val="clear" w:color="auto" w:fill="D9D9D9" w:themeFill="background1" w:themeFillShade="D9"/>
          </w:tcPr>
          <w:p w:rsidR="00C56567" w:rsidRPr="00B64113" w:rsidRDefault="00B931E6" w:rsidP="00A76527">
            <w:pPr>
              <w:keepNext/>
              <w:widowControl w:val="0"/>
              <w:shd w:val="clear" w:color="auto" w:fill="D9D9D9" w:themeFill="background1" w:themeFillShade="D9"/>
              <w:spacing w:after="0" w:line="240" w:lineRule="auto"/>
              <w:jc w:val="center"/>
              <w:rPr>
                <w:b/>
              </w:rPr>
            </w:pPr>
            <w:r w:rsidRPr="00B64113">
              <w:rPr>
                <w:b/>
              </w:rPr>
              <w:t>Total</w:t>
            </w:r>
          </w:p>
        </w:tc>
        <w:tc>
          <w:tcPr>
            <w:tcW w:w="5690" w:type="dxa"/>
            <w:gridSpan w:val="4"/>
            <w:shd w:val="clear" w:color="auto" w:fill="D9D9D9" w:themeFill="background1" w:themeFillShade="D9"/>
          </w:tcPr>
          <w:p w:rsidR="00C56567" w:rsidRPr="00B64113" w:rsidRDefault="00B931E6" w:rsidP="00A76527">
            <w:pPr>
              <w:keepNext/>
              <w:widowControl w:val="0"/>
              <w:shd w:val="clear" w:color="auto" w:fill="D9D9D9" w:themeFill="background1" w:themeFillShade="D9"/>
              <w:spacing w:after="0" w:line="240" w:lineRule="auto"/>
              <w:jc w:val="center"/>
              <w:rPr>
                <w:b/>
              </w:rPr>
            </w:pPr>
            <w:r w:rsidRPr="00B64113">
              <w:rPr>
                <w:b/>
              </w:rPr>
              <w:t>Minority Property Owners</w:t>
            </w:r>
          </w:p>
        </w:tc>
        <w:tc>
          <w:tcPr>
            <w:tcW w:w="1470" w:type="dxa"/>
            <w:vMerge w:val="restart"/>
            <w:shd w:val="clear" w:color="auto" w:fill="D9D9D9" w:themeFill="background1" w:themeFillShade="D9"/>
          </w:tcPr>
          <w:p w:rsidR="00C56567" w:rsidRDefault="00B931E6" w:rsidP="00A76527">
            <w:pPr>
              <w:keepNext/>
              <w:widowControl w:val="0"/>
              <w:shd w:val="clear" w:color="auto" w:fill="D9D9D9" w:themeFill="background1" w:themeFillShade="D9"/>
              <w:spacing w:after="0" w:line="240" w:lineRule="auto"/>
              <w:jc w:val="center"/>
              <w:rPr>
                <w:b/>
              </w:rPr>
            </w:pPr>
            <w:r w:rsidRPr="00B64113">
              <w:rPr>
                <w:b/>
              </w:rPr>
              <w:t>White Non-Hispanic</w:t>
            </w:r>
          </w:p>
        </w:tc>
      </w:tr>
      <w:tr w:rsidR="00C56567" w:rsidTr="00A76527">
        <w:tc>
          <w:tcPr>
            <w:tcW w:w="1350" w:type="dxa"/>
            <w:vMerge/>
            <w:shd w:val="clear" w:color="auto" w:fill="D9D9D9" w:themeFill="background1" w:themeFillShade="D9"/>
          </w:tcPr>
          <w:p w:rsidR="00C56567" w:rsidRDefault="00C56567">
            <w:pPr>
              <w:keepNext/>
              <w:widowControl w:val="0"/>
              <w:spacing w:after="0" w:line="240" w:lineRule="auto"/>
              <w:jc w:val="center"/>
              <w:rPr>
                <w:b/>
              </w:rPr>
            </w:pPr>
          </w:p>
        </w:tc>
        <w:tc>
          <w:tcPr>
            <w:tcW w:w="1080" w:type="dxa"/>
            <w:vMerge/>
            <w:shd w:val="clear" w:color="auto" w:fill="D9D9D9" w:themeFill="background1" w:themeFillShade="D9"/>
          </w:tcPr>
          <w:p w:rsidR="00C56567" w:rsidRDefault="00C56567">
            <w:pPr>
              <w:keepNext/>
              <w:widowControl w:val="0"/>
              <w:spacing w:after="0" w:line="240" w:lineRule="auto"/>
              <w:jc w:val="center"/>
              <w:rPr>
                <w:b/>
              </w:rPr>
            </w:pPr>
          </w:p>
        </w:tc>
        <w:tc>
          <w:tcPr>
            <w:tcW w:w="1316" w:type="dxa"/>
            <w:shd w:val="clear" w:color="auto" w:fill="D9D9D9" w:themeFill="background1" w:themeFillShade="D9"/>
          </w:tcPr>
          <w:p w:rsidR="00C56567" w:rsidRDefault="00B931E6">
            <w:pPr>
              <w:keepNext/>
              <w:widowControl w:val="0"/>
              <w:jc w:val="center"/>
              <w:rPr>
                <w:b/>
              </w:rPr>
            </w:pPr>
            <w:r>
              <w:rPr>
                <w:b/>
              </w:rPr>
              <w:t>Alaskan Native or American Indian</w:t>
            </w:r>
          </w:p>
        </w:tc>
        <w:tc>
          <w:tcPr>
            <w:tcW w:w="1434" w:type="dxa"/>
            <w:shd w:val="clear" w:color="auto" w:fill="D9D9D9" w:themeFill="background1" w:themeFillShade="D9"/>
          </w:tcPr>
          <w:p w:rsidR="00C56567" w:rsidRDefault="00B931E6">
            <w:pPr>
              <w:keepNext/>
              <w:widowControl w:val="0"/>
              <w:ind w:right="-28"/>
              <w:jc w:val="center"/>
              <w:rPr>
                <w:b/>
              </w:rPr>
            </w:pPr>
            <w:r>
              <w:rPr>
                <w:b/>
              </w:rPr>
              <w:t>Asian or Pacific Islander</w:t>
            </w:r>
          </w:p>
        </w:tc>
        <w:tc>
          <w:tcPr>
            <w:tcW w:w="1470" w:type="dxa"/>
            <w:shd w:val="clear" w:color="auto" w:fill="D9D9D9" w:themeFill="background1" w:themeFillShade="D9"/>
          </w:tcPr>
          <w:p w:rsidR="00C56567" w:rsidRDefault="00B931E6">
            <w:pPr>
              <w:keepNext/>
              <w:widowControl w:val="0"/>
              <w:jc w:val="center"/>
              <w:rPr>
                <w:b/>
              </w:rPr>
            </w:pPr>
            <w:r>
              <w:rPr>
                <w:b/>
              </w:rPr>
              <w:t>Black Non-Hispanic</w:t>
            </w:r>
          </w:p>
        </w:tc>
        <w:tc>
          <w:tcPr>
            <w:tcW w:w="1470" w:type="dxa"/>
            <w:shd w:val="clear" w:color="auto" w:fill="D9D9D9" w:themeFill="background1" w:themeFillShade="D9"/>
          </w:tcPr>
          <w:p w:rsidR="00C56567" w:rsidRDefault="00B931E6">
            <w:pPr>
              <w:keepNext/>
              <w:widowControl w:val="0"/>
              <w:jc w:val="center"/>
              <w:rPr>
                <w:b/>
              </w:rPr>
            </w:pPr>
            <w:r>
              <w:rPr>
                <w:b/>
              </w:rPr>
              <w:t>Hispanic</w:t>
            </w:r>
          </w:p>
        </w:tc>
        <w:tc>
          <w:tcPr>
            <w:tcW w:w="1470" w:type="dxa"/>
            <w:vMerge/>
            <w:shd w:val="clear" w:color="auto" w:fill="D9D9D9" w:themeFill="background1" w:themeFillShade="D9"/>
          </w:tcPr>
          <w:p w:rsidR="00C56567" w:rsidRDefault="00C56567">
            <w:pPr>
              <w:keepNext/>
              <w:widowControl w:val="0"/>
              <w:spacing w:after="0" w:line="240" w:lineRule="auto"/>
              <w:jc w:val="center"/>
              <w:rPr>
                <w:b/>
              </w:rPr>
            </w:pPr>
          </w:p>
        </w:tc>
      </w:tr>
      <w:tr w:rsidR="00C56567" w:rsidTr="00D20157">
        <w:tc>
          <w:tcPr>
            <w:tcW w:w="1350" w:type="dxa"/>
          </w:tcPr>
          <w:p w:rsidR="00C56567" w:rsidRDefault="00B931E6">
            <w:pPr>
              <w:keepNext/>
              <w:widowControl w:val="0"/>
              <w:spacing w:after="0" w:line="240" w:lineRule="auto"/>
              <w:rPr>
                <w:b/>
              </w:rPr>
            </w:pPr>
            <w:r>
              <w:t>Number</w:t>
            </w:r>
          </w:p>
        </w:tc>
        <w:tc>
          <w:tcPr>
            <w:tcW w:w="1080" w:type="dxa"/>
          </w:tcPr>
          <w:p w:rsidR="00C56567" w:rsidRDefault="00D20157">
            <w:pPr>
              <w:keepNext/>
              <w:widowControl w:val="0"/>
              <w:spacing w:after="0" w:line="240" w:lineRule="auto"/>
              <w:rPr>
                <w:b/>
              </w:rPr>
            </w:pPr>
            <w:r>
              <w:rPr>
                <w:b/>
              </w:rPr>
              <w:t>100,000</w:t>
            </w:r>
          </w:p>
        </w:tc>
        <w:tc>
          <w:tcPr>
            <w:tcW w:w="1316" w:type="dxa"/>
          </w:tcPr>
          <w:p w:rsidR="00C56567" w:rsidRDefault="00C56567">
            <w:pPr>
              <w:keepNext/>
              <w:widowControl w:val="0"/>
              <w:spacing w:after="0" w:line="240" w:lineRule="auto"/>
              <w:rPr>
                <w:b/>
              </w:rPr>
            </w:pPr>
          </w:p>
        </w:tc>
        <w:tc>
          <w:tcPr>
            <w:tcW w:w="1434" w:type="dxa"/>
          </w:tcPr>
          <w:p w:rsidR="00C56567" w:rsidRDefault="00C56567">
            <w:pPr>
              <w:keepNext/>
              <w:widowControl w:val="0"/>
              <w:spacing w:after="0" w:line="240" w:lineRule="auto"/>
              <w:rPr>
                <w:b/>
              </w:rPr>
            </w:pPr>
          </w:p>
        </w:tc>
        <w:tc>
          <w:tcPr>
            <w:tcW w:w="1470" w:type="dxa"/>
          </w:tcPr>
          <w:p w:rsidR="00C56567" w:rsidRDefault="00C56567">
            <w:pPr>
              <w:keepNext/>
              <w:widowControl w:val="0"/>
              <w:spacing w:after="0" w:line="240" w:lineRule="auto"/>
              <w:rPr>
                <w:b/>
              </w:rPr>
            </w:pPr>
          </w:p>
        </w:tc>
        <w:tc>
          <w:tcPr>
            <w:tcW w:w="1470" w:type="dxa"/>
          </w:tcPr>
          <w:p w:rsidR="00C56567" w:rsidRDefault="00C56567">
            <w:pPr>
              <w:keepNext/>
              <w:widowControl w:val="0"/>
              <w:spacing w:after="0" w:line="240" w:lineRule="auto"/>
              <w:rPr>
                <w:b/>
              </w:rPr>
            </w:pPr>
          </w:p>
        </w:tc>
        <w:tc>
          <w:tcPr>
            <w:tcW w:w="1470" w:type="dxa"/>
          </w:tcPr>
          <w:p w:rsidR="00C56567" w:rsidRDefault="00D20157" w:rsidP="00D20157">
            <w:pPr>
              <w:keepNext/>
              <w:widowControl w:val="0"/>
              <w:spacing w:after="0" w:line="240" w:lineRule="auto"/>
              <w:rPr>
                <w:b/>
              </w:rPr>
            </w:pPr>
            <w:r>
              <w:rPr>
                <w:b/>
              </w:rPr>
              <w:t>1</w:t>
            </w:r>
          </w:p>
        </w:tc>
      </w:tr>
      <w:tr w:rsidR="00C56567" w:rsidTr="00D20157">
        <w:tc>
          <w:tcPr>
            <w:tcW w:w="1350" w:type="dxa"/>
          </w:tcPr>
          <w:p w:rsidR="00C56567" w:rsidRDefault="00B931E6">
            <w:pPr>
              <w:keepNext/>
              <w:widowControl w:val="0"/>
              <w:spacing w:after="0" w:line="240" w:lineRule="auto"/>
            </w:pPr>
            <w:r>
              <w:t>Dollar Amount</w:t>
            </w:r>
          </w:p>
        </w:tc>
        <w:tc>
          <w:tcPr>
            <w:tcW w:w="1080" w:type="dxa"/>
          </w:tcPr>
          <w:p w:rsidR="00C56567" w:rsidRDefault="00C56567">
            <w:pPr>
              <w:keepNext/>
              <w:widowControl w:val="0"/>
              <w:spacing w:after="0" w:line="240" w:lineRule="auto"/>
              <w:rPr>
                <w:b/>
              </w:rPr>
            </w:pPr>
          </w:p>
        </w:tc>
        <w:tc>
          <w:tcPr>
            <w:tcW w:w="1316" w:type="dxa"/>
          </w:tcPr>
          <w:p w:rsidR="00C56567" w:rsidRDefault="00C56567">
            <w:pPr>
              <w:keepNext/>
              <w:widowControl w:val="0"/>
              <w:spacing w:after="0" w:line="240" w:lineRule="auto"/>
              <w:rPr>
                <w:b/>
              </w:rPr>
            </w:pPr>
          </w:p>
        </w:tc>
        <w:tc>
          <w:tcPr>
            <w:tcW w:w="1434" w:type="dxa"/>
          </w:tcPr>
          <w:p w:rsidR="00C56567" w:rsidRDefault="00C56567">
            <w:pPr>
              <w:keepNext/>
              <w:widowControl w:val="0"/>
              <w:spacing w:after="0" w:line="240" w:lineRule="auto"/>
              <w:rPr>
                <w:b/>
              </w:rPr>
            </w:pPr>
          </w:p>
        </w:tc>
        <w:tc>
          <w:tcPr>
            <w:tcW w:w="1470" w:type="dxa"/>
          </w:tcPr>
          <w:p w:rsidR="00C56567" w:rsidRDefault="00C56567">
            <w:pPr>
              <w:keepNext/>
              <w:widowControl w:val="0"/>
              <w:spacing w:after="0" w:line="240" w:lineRule="auto"/>
              <w:rPr>
                <w:b/>
              </w:rPr>
            </w:pPr>
          </w:p>
        </w:tc>
        <w:tc>
          <w:tcPr>
            <w:tcW w:w="1470" w:type="dxa"/>
          </w:tcPr>
          <w:p w:rsidR="00C56567" w:rsidRDefault="00C56567">
            <w:pPr>
              <w:keepNext/>
              <w:widowControl w:val="0"/>
              <w:spacing w:after="0" w:line="240" w:lineRule="auto"/>
              <w:rPr>
                <w:b/>
              </w:rPr>
            </w:pPr>
          </w:p>
        </w:tc>
        <w:tc>
          <w:tcPr>
            <w:tcW w:w="1470" w:type="dxa"/>
          </w:tcPr>
          <w:p w:rsidR="00C56567" w:rsidRDefault="00C56567">
            <w:pPr>
              <w:keepNext/>
              <w:widowControl w:val="0"/>
              <w:spacing w:after="0" w:line="240" w:lineRule="auto"/>
              <w:rPr>
                <w:b/>
              </w:rPr>
            </w:pPr>
          </w:p>
        </w:tc>
      </w:tr>
    </w:tbl>
    <w:p w:rsidR="00C56567" w:rsidRDefault="00B931E6">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FB21A6">
        <w:rPr>
          <w:rFonts w:asciiTheme="minorHAnsi" w:hAnsiTheme="minorHAnsi"/>
          <w:noProof/>
        </w:rPr>
        <w:t>9</w:t>
      </w:r>
      <w:r>
        <w:rPr>
          <w:rFonts w:asciiTheme="minorHAnsi" w:hAnsiTheme="minorHAnsi"/>
        </w:rPr>
        <w:fldChar w:fldCharType="end"/>
      </w:r>
      <w:r>
        <w:rPr>
          <w:rFonts w:asciiTheme="minorHAnsi" w:hAnsiTheme="minorHAnsi"/>
        </w:rPr>
        <w:t xml:space="preserve"> – Minority Owners of Rental Property</w:t>
      </w:r>
    </w:p>
    <w:p w:rsidR="00C56567" w:rsidRDefault="00C56567">
      <w:pPr>
        <w:widowControl w:val="0"/>
        <w:spacing w:line="204" w:lineRule="auto"/>
        <w:rPr>
          <w:b/>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C56567">
        <w:tc>
          <w:tcPr>
            <w:tcW w:w="13176" w:type="dxa"/>
          </w:tcPr>
          <w:p w:rsidR="00C56567" w:rsidRDefault="00B931E6">
            <w:pPr>
              <w:keepNext/>
              <w:widowControl w:val="0"/>
              <w:spacing w:after="0" w:line="240" w:lineRule="auto"/>
              <w:rPr>
                <w:b/>
              </w:rPr>
            </w:pPr>
            <w:r>
              <w:rPr>
                <w:b/>
              </w:rPr>
              <w:t xml:space="preserve">Relocation and Real Property Acquisition – </w:t>
            </w:r>
            <w:r>
              <w:t>Indicate the number of persons displaced, the cost of relocation payments, the number of parcels acquired, and the cost of acquisition</w:t>
            </w:r>
          </w:p>
        </w:tc>
      </w:tr>
    </w:tbl>
    <w:p w:rsidR="00C56567" w:rsidRDefault="00C56567">
      <w:pPr>
        <w:keepNext/>
        <w:widowControl w:val="0"/>
        <w:spacing w:after="0" w:line="240" w:lineRule="auto"/>
        <w:rPr>
          <w:b/>
          <w:vanish/>
          <w:sz w:val="24"/>
          <w:szCs w:val="24"/>
        </w:rPr>
      </w:pPr>
    </w:p>
    <w:tbl>
      <w:tblPr>
        <w:tblW w:w="3423"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163"/>
        <w:gridCol w:w="1701"/>
        <w:gridCol w:w="1701"/>
      </w:tblGrid>
      <w:tr w:rsidR="00C56567">
        <w:trPr>
          <w:cantSplit/>
          <w:hidden/>
        </w:trPr>
        <w:tc>
          <w:tcPr>
            <w:tcW w:w="4392" w:type="dxa"/>
          </w:tcPr>
          <w:p w:rsidR="00C56567" w:rsidRDefault="00C56567">
            <w:pPr>
              <w:keepNext/>
              <w:widowControl w:val="0"/>
              <w:spacing w:after="0" w:line="240" w:lineRule="auto"/>
              <w:rPr>
                <w:b/>
                <w:vanish/>
              </w:rPr>
            </w:pPr>
          </w:p>
        </w:tc>
        <w:tc>
          <w:tcPr>
            <w:tcW w:w="2314" w:type="dxa"/>
          </w:tcPr>
          <w:p w:rsidR="00C56567" w:rsidRDefault="00B931E6">
            <w:pPr>
              <w:keepNext/>
              <w:widowControl w:val="0"/>
              <w:spacing w:after="0" w:line="240" w:lineRule="auto"/>
              <w:jc w:val="center"/>
              <w:rPr>
                <w:b/>
                <w:vanish/>
              </w:rPr>
            </w:pPr>
            <w:r>
              <w:rPr>
                <w:b/>
                <w:vanish/>
              </w:rPr>
              <w:t>Number</w:t>
            </w:r>
          </w:p>
        </w:tc>
        <w:tc>
          <w:tcPr>
            <w:tcW w:w="2314" w:type="dxa"/>
          </w:tcPr>
          <w:p w:rsidR="00C56567" w:rsidRDefault="00B931E6">
            <w:pPr>
              <w:keepNext/>
              <w:widowControl w:val="0"/>
              <w:spacing w:after="0" w:line="240" w:lineRule="auto"/>
              <w:jc w:val="center"/>
              <w:rPr>
                <w:b/>
                <w:vanish/>
              </w:rPr>
            </w:pPr>
            <w:r>
              <w:rPr>
                <w:b/>
                <w:vanish/>
              </w:rPr>
              <w:t>Cost</w:t>
            </w:r>
          </w:p>
        </w:tc>
      </w:tr>
      <w:tr w:rsidR="00C56567">
        <w:trPr>
          <w:cantSplit/>
        </w:trPr>
        <w:tc>
          <w:tcPr>
            <w:tcW w:w="4392" w:type="dxa"/>
          </w:tcPr>
          <w:p w:rsidR="00C56567" w:rsidRDefault="00B931E6">
            <w:pPr>
              <w:keepNext/>
              <w:spacing w:after="0" w:line="240" w:lineRule="auto"/>
            </w:pPr>
            <w:r>
              <w:t>Parcels Acquired</w:t>
            </w:r>
          </w:p>
        </w:tc>
        <w:tc>
          <w:tcPr>
            <w:tcW w:w="2314" w:type="dxa"/>
          </w:tcPr>
          <w:p w:rsidR="00C56567" w:rsidRDefault="00B4265E">
            <w:pPr>
              <w:keepNext/>
              <w:widowControl w:val="0"/>
              <w:spacing w:after="0" w:line="240" w:lineRule="auto"/>
              <w:rPr>
                <w:b/>
                <w:vanish/>
              </w:rPr>
            </w:pPr>
            <w:r>
              <w:rPr>
                <w:b/>
                <w:vanish/>
              </w:rPr>
              <w:t>0</w:t>
            </w:r>
          </w:p>
        </w:tc>
        <w:tc>
          <w:tcPr>
            <w:tcW w:w="2314" w:type="dxa"/>
          </w:tcPr>
          <w:p w:rsidR="00C56567" w:rsidRDefault="00B4265E">
            <w:pPr>
              <w:keepNext/>
              <w:widowControl w:val="0"/>
              <w:spacing w:after="0" w:line="240" w:lineRule="auto"/>
              <w:rPr>
                <w:b/>
                <w:vanish/>
              </w:rPr>
            </w:pPr>
            <w:r>
              <w:rPr>
                <w:b/>
                <w:vanish/>
              </w:rPr>
              <w:t>0</w:t>
            </w:r>
          </w:p>
        </w:tc>
      </w:tr>
      <w:tr w:rsidR="00C56567">
        <w:trPr>
          <w:cantSplit/>
        </w:trPr>
        <w:tc>
          <w:tcPr>
            <w:tcW w:w="4392" w:type="dxa"/>
          </w:tcPr>
          <w:p w:rsidR="00C56567" w:rsidRDefault="00B931E6">
            <w:pPr>
              <w:keepNext/>
              <w:spacing w:after="0" w:line="240" w:lineRule="auto"/>
            </w:pPr>
            <w:r>
              <w:t>Businesses Displaced</w:t>
            </w:r>
          </w:p>
        </w:tc>
        <w:tc>
          <w:tcPr>
            <w:tcW w:w="2314" w:type="dxa"/>
          </w:tcPr>
          <w:p w:rsidR="00C56567" w:rsidRDefault="00B4265E">
            <w:pPr>
              <w:keepNext/>
              <w:widowControl w:val="0"/>
              <w:spacing w:after="0" w:line="240" w:lineRule="auto"/>
              <w:rPr>
                <w:b/>
                <w:vanish/>
              </w:rPr>
            </w:pPr>
            <w:r>
              <w:rPr>
                <w:b/>
                <w:vanish/>
              </w:rPr>
              <w:t>0</w:t>
            </w:r>
          </w:p>
        </w:tc>
        <w:tc>
          <w:tcPr>
            <w:tcW w:w="2314" w:type="dxa"/>
          </w:tcPr>
          <w:p w:rsidR="00C56567" w:rsidRDefault="00B4265E">
            <w:pPr>
              <w:keepNext/>
              <w:widowControl w:val="0"/>
              <w:spacing w:after="0" w:line="240" w:lineRule="auto"/>
              <w:rPr>
                <w:b/>
                <w:vanish/>
              </w:rPr>
            </w:pPr>
            <w:r>
              <w:rPr>
                <w:b/>
                <w:vanish/>
              </w:rPr>
              <w:t>0</w:t>
            </w:r>
          </w:p>
        </w:tc>
      </w:tr>
      <w:tr w:rsidR="00C56567">
        <w:trPr>
          <w:cantSplit/>
        </w:trPr>
        <w:tc>
          <w:tcPr>
            <w:tcW w:w="4392" w:type="dxa"/>
          </w:tcPr>
          <w:p w:rsidR="00C56567" w:rsidRDefault="00B931E6">
            <w:pPr>
              <w:keepNext/>
              <w:spacing w:after="0" w:line="240" w:lineRule="auto"/>
            </w:pPr>
            <w:r>
              <w:t>Nonprofit Organizations Displaced</w:t>
            </w:r>
          </w:p>
        </w:tc>
        <w:tc>
          <w:tcPr>
            <w:tcW w:w="2314" w:type="dxa"/>
          </w:tcPr>
          <w:p w:rsidR="00C56567" w:rsidRDefault="00B4265E">
            <w:pPr>
              <w:keepNext/>
              <w:widowControl w:val="0"/>
              <w:spacing w:after="0" w:line="240" w:lineRule="auto"/>
              <w:rPr>
                <w:b/>
                <w:vanish/>
              </w:rPr>
            </w:pPr>
            <w:r>
              <w:rPr>
                <w:b/>
                <w:vanish/>
              </w:rPr>
              <w:t>0</w:t>
            </w:r>
          </w:p>
        </w:tc>
        <w:tc>
          <w:tcPr>
            <w:tcW w:w="2314" w:type="dxa"/>
          </w:tcPr>
          <w:p w:rsidR="00C56567" w:rsidRDefault="00B4265E">
            <w:pPr>
              <w:keepNext/>
              <w:widowControl w:val="0"/>
              <w:spacing w:after="0" w:line="240" w:lineRule="auto"/>
              <w:rPr>
                <w:b/>
                <w:vanish/>
              </w:rPr>
            </w:pPr>
            <w:r>
              <w:rPr>
                <w:b/>
                <w:vanish/>
              </w:rPr>
              <w:t>0</w:t>
            </w:r>
          </w:p>
        </w:tc>
      </w:tr>
      <w:tr w:rsidR="00C56567">
        <w:trPr>
          <w:cantSplit/>
        </w:trPr>
        <w:tc>
          <w:tcPr>
            <w:tcW w:w="4392" w:type="dxa"/>
          </w:tcPr>
          <w:p w:rsidR="00C56567" w:rsidRDefault="00B931E6">
            <w:pPr>
              <w:keepNext/>
              <w:spacing w:after="0" w:line="240" w:lineRule="auto"/>
            </w:pPr>
            <w:r>
              <w:t>Households Temporarily Relocated, not Displaced</w:t>
            </w:r>
          </w:p>
        </w:tc>
        <w:tc>
          <w:tcPr>
            <w:tcW w:w="2314" w:type="dxa"/>
          </w:tcPr>
          <w:p w:rsidR="00C56567" w:rsidRDefault="00B4265E">
            <w:pPr>
              <w:keepNext/>
              <w:widowControl w:val="0"/>
              <w:spacing w:after="0" w:line="240" w:lineRule="auto"/>
              <w:rPr>
                <w:b/>
                <w:vanish/>
              </w:rPr>
            </w:pPr>
            <w:r>
              <w:rPr>
                <w:b/>
                <w:vanish/>
              </w:rPr>
              <w:t>4</w:t>
            </w:r>
          </w:p>
        </w:tc>
        <w:tc>
          <w:tcPr>
            <w:tcW w:w="2314" w:type="dxa"/>
          </w:tcPr>
          <w:p w:rsidR="00C56567" w:rsidRDefault="00B4265E">
            <w:pPr>
              <w:keepNext/>
              <w:widowControl w:val="0"/>
              <w:spacing w:after="0" w:line="240" w:lineRule="auto"/>
              <w:rPr>
                <w:b/>
                <w:vanish/>
              </w:rPr>
            </w:pPr>
            <w:r>
              <w:rPr>
                <w:b/>
                <w:vanish/>
              </w:rPr>
              <w:t>4</w:t>
            </w:r>
          </w:p>
        </w:tc>
      </w:tr>
    </w:tbl>
    <w:p w:rsidR="00C56567" w:rsidRDefault="00C56567">
      <w:pPr>
        <w:widowControl w:val="0"/>
        <w:spacing w:after="0" w:line="240" w:lineRule="auto"/>
        <w:rPr>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575"/>
        <w:gridCol w:w="801"/>
        <w:gridCol w:w="1497"/>
        <w:gridCol w:w="1401"/>
        <w:gridCol w:w="1439"/>
        <w:gridCol w:w="1438"/>
        <w:gridCol w:w="1439"/>
      </w:tblGrid>
      <w:tr w:rsidR="00C56567">
        <w:trPr>
          <w:cantSplit/>
        </w:trPr>
        <w:tc>
          <w:tcPr>
            <w:tcW w:w="1572" w:type="dxa"/>
            <w:vMerge w:val="restart"/>
          </w:tcPr>
          <w:p w:rsidR="00C56567" w:rsidRDefault="00B931E6">
            <w:pPr>
              <w:keepNext/>
              <w:widowControl w:val="0"/>
              <w:spacing w:after="0" w:line="240" w:lineRule="auto"/>
              <w:jc w:val="center"/>
              <w:rPr>
                <w:b/>
              </w:rPr>
            </w:pPr>
            <w:r>
              <w:rPr>
                <w:b/>
              </w:rPr>
              <w:t>Households Displaced</w:t>
            </w:r>
          </w:p>
        </w:tc>
        <w:tc>
          <w:tcPr>
            <w:tcW w:w="800" w:type="dxa"/>
            <w:vMerge w:val="restart"/>
          </w:tcPr>
          <w:p w:rsidR="00C56567" w:rsidRDefault="00B931E6">
            <w:pPr>
              <w:keepNext/>
              <w:widowControl w:val="0"/>
              <w:spacing w:after="0" w:line="240" w:lineRule="auto"/>
              <w:jc w:val="center"/>
              <w:rPr>
                <w:b/>
              </w:rPr>
            </w:pPr>
            <w:r>
              <w:rPr>
                <w:b/>
              </w:rPr>
              <w:t>Total</w:t>
            </w:r>
          </w:p>
        </w:tc>
        <w:tc>
          <w:tcPr>
            <w:tcW w:w="5767" w:type="dxa"/>
            <w:gridSpan w:val="4"/>
          </w:tcPr>
          <w:p w:rsidR="00C56567" w:rsidRDefault="00B931E6">
            <w:pPr>
              <w:keepNext/>
              <w:widowControl w:val="0"/>
              <w:spacing w:after="0" w:line="240" w:lineRule="auto"/>
              <w:jc w:val="center"/>
              <w:rPr>
                <w:b/>
              </w:rPr>
            </w:pPr>
            <w:r>
              <w:rPr>
                <w:b/>
              </w:rPr>
              <w:t>Minority Property Enterprises</w:t>
            </w:r>
          </w:p>
        </w:tc>
        <w:tc>
          <w:tcPr>
            <w:tcW w:w="1437" w:type="dxa"/>
            <w:vMerge w:val="restart"/>
          </w:tcPr>
          <w:p w:rsidR="00C56567" w:rsidRDefault="00B931E6">
            <w:pPr>
              <w:keepNext/>
              <w:widowControl w:val="0"/>
              <w:spacing w:after="0" w:line="240" w:lineRule="auto"/>
              <w:jc w:val="center"/>
              <w:rPr>
                <w:b/>
              </w:rPr>
            </w:pPr>
            <w:r>
              <w:rPr>
                <w:b/>
              </w:rPr>
              <w:t>White Non-Hispanic</w:t>
            </w:r>
          </w:p>
        </w:tc>
      </w:tr>
      <w:tr w:rsidR="00C56567">
        <w:trPr>
          <w:cantSplit/>
        </w:trPr>
        <w:tc>
          <w:tcPr>
            <w:tcW w:w="1572" w:type="dxa"/>
            <w:vMerge/>
          </w:tcPr>
          <w:p w:rsidR="00C56567" w:rsidRDefault="00C56567">
            <w:pPr>
              <w:keepNext/>
              <w:widowControl w:val="0"/>
              <w:spacing w:after="0" w:line="240" w:lineRule="auto"/>
              <w:jc w:val="center"/>
              <w:rPr>
                <w:b/>
              </w:rPr>
            </w:pPr>
          </w:p>
        </w:tc>
        <w:tc>
          <w:tcPr>
            <w:tcW w:w="800" w:type="dxa"/>
            <w:vMerge/>
          </w:tcPr>
          <w:p w:rsidR="00C56567" w:rsidRDefault="00C56567">
            <w:pPr>
              <w:keepNext/>
              <w:widowControl w:val="0"/>
              <w:spacing w:after="0" w:line="240" w:lineRule="auto"/>
              <w:jc w:val="center"/>
              <w:rPr>
                <w:b/>
              </w:rPr>
            </w:pPr>
          </w:p>
        </w:tc>
        <w:tc>
          <w:tcPr>
            <w:tcW w:w="1495" w:type="dxa"/>
          </w:tcPr>
          <w:p w:rsidR="00C56567" w:rsidRDefault="00B931E6">
            <w:pPr>
              <w:keepNext/>
              <w:widowControl w:val="0"/>
              <w:jc w:val="center"/>
              <w:rPr>
                <w:b/>
              </w:rPr>
            </w:pPr>
            <w:r>
              <w:rPr>
                <w:b/>
              </w:rPr>
              <w:t>Alaskan Native or American Indian</w:t>
            </w:r>
          </w:p>
        </w:tc>
        <w:tc>
          <w:tcPr>
            <w:tcW w:w="1399" w:type="dxa"/>
          </w:tcPr>
          <w:p w:rsidR="00C56567" w:rsidRDefault="00B931E6">
            <w:pPr>
              <w:keepNext/>
              <w:widowControl w:val="0"/>
              <w:ind w:right="-28"/>
              <w:jc w:val="center"/>
              <w:rPr>
                <w:b/>
              </w:rPr>
            </w:pPr>
            <w:r>
              <w:rPr>
                <w:b/>
              </w:rPr>
              <w:t>Asian or Pacific Islander</w:t>
            </w:r>
          </w:p>
        </w:tc>
        <w:tc>
          <w:tcPr>
            <w:tcW w:w="1437" w:type="dxa"/>
          </w:tcPr>
          <w:p w:rsidR="00C56567" w:rsidRDefault="00B931E6">
            <w:pPr>
              <w:keepNext/>
              <w:widowControl w:val="0"/>
              <w:jc w:val="center"/>
              <w:rPr>
                <w:b/>
              </w:rPr>
            </w:pPr>
            <w:r>
              <w:rPr>
                <w:b/>
              </w:rPr>
              <w:t>Black Non-Hispanic</w:t>
            </w:r>
          </w:p>
        </w:tc>
        <w:tc>
          <w:tcPr>
            <w:tcW w:w="1436" w:type="dxa"/>
          </w:tcPr>
          <w:p w:rsidR="00C56567" w:rsidRDefault="00B931E6">
            <w:pPr>
              <w:keepNext/>
              <w:widowControl w:val="0"/>
              <w:jc w:val="center"/>
              <w:rPr>
                <w:b/>
              </w:rPr>
            </w:pPr>
            <w:r>
              <w:rPr>
                <w:b/>
              </w:rPr>
              <w:t>Hispanic</w:t>
            </w:r>
          </w:p>
        </w:tc>
        <w:tc>
          <w:tcPr>
            <w:tcW w:w="1437" w:type="dxa"/>
            <w:vMerge/>
          </w:tcPr>
          <w:p w:rsidR="00C56567" w:rsidRDefault="00C56567">
            <w:pPr>
              <w:keepNext/>
              <w:widowControl w:val="0"/>
              <w:spacing w:after="0" w:line="240" w:lineRule="auto"/>
              <w:jc w:val="center"/>
              <w:rPr>
                <w:b/>
              </w:rPr>
            </w:pPr>
          </w:p>
        </w:tc>
      </w:tr>
      <w:tr w:rsidR="00C56567">
        <w:trPr>
          <w:cantSplit/>
        </w:trPr>
        <w:tc>
          <w:tcPr>
            <w:tcW w:w="1572" w:type="dxa"/>
          </w:tcPr>
          <w:p w:rsidR="00C56567" w:rsidRDefault="00B931E6">
            <w:pPr>
              <w:keepNext/>
              <w:widowControl w:val="0"/>
              <w:spacing w:after="0" w:line="240" w:lineRule="auto"/>
              <w:rPr>
                <w:b/>
              </w:rPr>
            </w:pPr>
            <w:r>
              <w:t>Number</w:t>
            </w:r>
          </w:p>
        </w:tc>
        <w:tc>
          <w:tcPr>
            <w:tcW w:w="800" w:type="dxa"/>
          </w:tcPr>
          <w:p w:rsidR="00C56567" w:rsidRDefault="00C56567">
            <w:pPr>
              <w:keepNext/>
              <w:widowControl w:val="0"/>
              <w:spacing w:after="0" w:line="240" w:lineRule="auto"/>
              <w:rPr>
                <w:b/>
              </w:rPr>
            </w:pPr>
          </w:p>
        </w:tc>
        <w:tc>
          <w:tcPr>
            <w:tcW w:w="1495" w:type="dxa"/>
          </w:tcPr>
          <w:p w:rsidR="00C56567" w:rsidRDefault="00C56567">
            <w:pPr>
              <w:keepNext/>
              <w:widowControl w:val="0"/>
              <w:spacing w:after="0" w:line="240" w:lineRule="auto"/>
              <w:rPr>
                <w:b/>
              </w:rPr>
            </w:pPr>
          </w:p>
        </w:tc>
        <w:tc>
          <w:tcPr>
            <w:tcW w:w="1399" w:type="dxa"/>
          </w:tcPr>
          <w:p w:rsidR="00C56567" w:rsidRDefault="00C56567">
            <w:pPr>
              <w:keepNext/>
              <w:widowControl w:val="0"/>
              <w:spacing w:after="0" w:line="240" w:lineRule="auto"/>
              <w:rPr>
                <w:b/>
              </w:rPr>
            </w:pPr>
          </w:p>
        </w:tc>
        <w:tc>
          <w:tcPr>
            <w:tcW w:w="1437" w:type="dxa"/>
          </w:tcPr>
          <w:p w:rsidR="00C56567" w:rsidRDefault="00C56567">
            <w:pPr>
              <w:keepNext/>
              <w:widowControl w:val="0"/>
              <w:spacing w:after="0" w:line="240" w:lineRule="auto"/>
              <w:rPr>
                <w:b/>
              </w:rPr>
            </w:pPr>
          </w:p>
        </w:tc>
        <w:tc>
          <w:tcPr>
            <w:tcW w:w="1436" w:type="dxa"/>
          </w:tcPr>
          <w:p w:rsidR="00C56567" w:rsidRDefault="00C56567">
            <w:pPr>
              <w:keepNext/>
              <w:widowControl w:val="0"/>
              <w:spacing w:after="0" w:line="240" w:lineRule="auto"/>
              <w:rPr>
                <w:b/>
              </w:rPr>
            </w:pPr>
          </w:p>
        </w:tc>
        <w:tc>
          <w:tcPr>
            <w:tcW w:w="1437" w:type="dxa"/>
          </w:tcPr>
          <w:p w:rsidR="00C56567" w:rsidRDefault="00C56567">
            <w:pPr>
              <w:keepNext/>
              <w:widowControl w:val="0"/>
              <w:spacing w:after="0" w:line="240" w:lineRule="auto"/>
              <w:rPr>
                <w:b/>
              </w:rPr>
            </w:pPr>
          </w:p>
        </w:tc>
      </w:tr>
      <w:tr w:rsidR="00C56567">
        <w:trPr>
          <w:cantSplit/>
        </w:trPr>
        <w:tc>
          <w:tcPr>
            <w:tcW w:w="1572" w:type="dxa"/>
          </w:tcPr>
          <w:p w:rsidR="00C56567" w:rsidRDefault="00B931E6">
            <w:pPr>
              <w:keepNext/>
              <w:widowControl w:val="0"/>
              <w:spacing w:after="0" w:line="240" w:lineRule="auto"/>
            </w:pPr>
            <w:r>
              <w:t>Cost</w:t>
            </w:r>
          </w:p>
        </w:tc>
        <w:tc>
          <w:tcPr>
            <w:tcW w:w="800" w:type="dxa"/>
          </w:tcPr>
          <w:p w:rsidR="00C56567" w:rsidRDefault="00C56567">
            <w:pPr>
              <w:keepNext/>
              <w:widowControl w:val="0"/>
              <w:spacing w:after="0" w:line="240" w:lineRule="auto"/>
              <w:rPr>
                <w:b/>
              </w:rPr>
            </w:pPr>
          </w:p>
        </w:tc>
        <w:tc>
          <w:tcPr>
            <w:tcW w:w="1495" w:type="dxa"/>
          </w:tcPr>
          <w:p w:rsidR="00C56567" w:rsidRDefault="00C56567">
            <w:pPr>
              <w:keepNext/>
              <w:widowControl w:val="0"/>
              <w:spacing w:after="0" w:line="240" w:lineRule="auto"/>
              <w:rPr>
                <w:b/>
              </w:rPr>
            </w:pPr>
          </w:p>
        </w:tc>
        <w:tc>
          <w:tcPr>
            <w:tcW w:w="1399" w:type="dxa"/>
          </w:tcPr>
          <w:p w:rsidR="00C56567" w:rsidRDefault="00C56567">
            <w:pPr>
              <w:keepNext/>
              <w:widowControl w:val="0"/>
              <w:spacing w:after="0" w:line="240" w:lineRule="auto"/>
              <w:rPr>
                <w:b/>
              </w:rPr>
            </w:pPr>
          </w:p>
        </w:tc>
        <w:tc>
          <w:tcPr>
            <w:tcW w:w="1437" w:type="dxa"/>
          </w:tcPr>
          <w:p w:rsidR="00C56567" w:rsidRDefault="00C56567">
            <w:pPr>
              <w:keepNext/>
              <w:widowControl w:val="0"/>
              <w:spacing w:after="0" w:line="240" w:lineRule="auto"/>
              <w:rPr>
                <w:b/>
              </w:rPr>
            </w:pPr>
          </w:p>
        </w:tc>
        <w:tc>
          <w:tcPr>
            <w:tcW w:w="1436" w:type="dxa"/>
          </w:tcPr>
          <w:p w:rsidR="00C56567" w:rsidRDefault="00C56567">
            <w:pPr>
              <w:keepNext/>
              <w:widowControl w:val="0"/>
              <w:spacing w:after="0" w:line="240" w:lineRule="auto"/>
              <w:rPr>
                <w:b/>
              </w:rPr>
            </w:pPr>
          </w:p>
        </w:tc>
        <w:tc>
          <w:tcPr>
            <w:tcW w:w="1437" w:type="dxa"/>
          </w:tcPr>
          <w:p w:rsidR="00C56567" w:rsidRDefault="00C56567">
            <w:pPr>
              <w:keepNext/>
              <w:widowControl w:val="0"/>
              <w:spacing w:after="0" w:line="240" w:lineRule="auto"/>
              <w:rPr>
                <w:b/>
              </w:rPr>
            </w:pPr>
          </w:p>
        </w:tc>
      </w:tr>
    </w:tbl>
    <w:p w:rsidR="00C56567" w:rsidRDefault="00B931E6">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FB21A6">
        <w:rPr>
          <w:rFonts w:asciiTheme="minorHAnsi" w:hAnsiTheme="minorHAnsi"/>
          <w:noProof/>
        </w:rPr>
        <w:t>10</w:t>
      </w:r>
      <w:r>
        <w:rPr>
          <w:rFonts w:asciiTheme="minorHAnsi" w:hAnsiTheme="minorHAnsi"/>
        </w:rPr>
        <w:fldChar w:fldCharType="end"/>
      </w:r>
      <w:r>
        <w:rPr>
          <w:rFonts w:asciiTheme="minorHAnsi" w:hAnsiTheme="minorHAnsi"/>
        </w:rPr>
        <w:t xml:space="preserve"> – Relocation and Real Property Acquisition</w:t>
      </w:r>
    </w:p>
    <w:p w:rsidR="00C56567" w:rsidRDefault="00C56567">
      <w:pPr>
        <w:widowControl w:val="0"/>
        <w:rPr>
          <w:rFonts w:cs="Arial"/>
          <w:highlight w:val="cyan"/>
        </w:rPr>
      </w:pPr>
    </w:p>
    <w:p w:rsidR="00C56567" w:rsidRDefault="00C56567">
      <w:pPr>
        <w:keepNext/>
        <w:widowControl w:val="0"/>
        <w:rPr>
          <w:rFonts w:cs="Arial"/>
          <w:highlight w:val="cyan"/>
        </w:rPr>
        <w:sectPr w:rsidR="00C56567">
          <w:pgSz w:w="12240" w:h="15840" w:code="1"/>
          <w:pgMar w:top="1440" w:right="1440" w:bottom="1440" w:left="1440" w:header="720" w:footer="720" w:gutter="0"/>
          <w:cols w:space="720"/>
          <w:docGrid w:linePitch="360"/>
        </w:sectPr>
      </w:pPr>
    </w:p>
    <w:p w:rsidR="00C56567" w:rsidRDefault="00B931E6">
      <w:pPr>
        <w:pStyle w:val="Heading2"/>
        <w:rPr>
          <w:rFonts w:ascii="Calibri" w:hAnsi="Calibri"/>
          <w:i w:val="0"/>
        </w:rPr>
      </w:pPr>
      <w:bookmarkStart w:id="2" w:name="_Toc309810475"/>
      <w:r>
        <w:rPr>
          <w:rFonts w:ascii="Calibri" w:hAnsi="Calibri"/>
          <w:i w:val="0"/>
        </w:rPr>
        <w:t>CR-20 - Affordable Housing 91.520(b)</w:t>
      </w:r>
    </w:p>
    <w:p w:rsidR="00C56567" w:rsidRDefault="00B931E6">
      <w:pPr>
        <w:keepNext/>
        <w:widowControl w:val="0"/>
        <w:spacing w:after="0" w:line="240" w:lineRule="auto"/>
        <w:rPr>
          <w:b/>
          <w:sz w:val="24"/>
          <w:szCs w:val="24"/>
        </w:rPr>
      </w:pPr>
      <w:r>
        <w:rPr>
          <w:b/>
          <w:sz w:val="24"/>
          <w:szCs w:val="24"/>
        </w:rPr>
        <w:t>Evaluation of the jurisdiction's progress in providing affordable housing, including the number and types of families served, the number of extremely low-income, low-income, moderate-income, and middle-income persons served.</w:t>
      </w:r>
    </w:p>
    <w:p w:rsidR="00C56567" w:rsidRDefault="00C56567">
      <w:pPr>
        <w:keepNext/>
        <w:widowControl w:val="0"/>
        <w:spacing w:after="0" w:line="240" w:lineRule="auto"/>
        <w:rPr>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293"/>
        <w:gridCol w:w="2648"/>
        <w:gridCol w:w="2649"/>
      </w:tblGrid>
      <w:tr w:rsidR="00C56567">
        <w:trPr>
          <w:cantSplit/>
          <w:tblHeader/>
        </w:trPr>
        <w:tc>
          <w:tcPr>
            <w:tcW w:w="4293" w:type="dxa"/>
          </w:tcPr>
          <w:p w:rsidR="00C56567" w:rsidRDefault="00C56567">
            <w:pPr>
              <w:pStyle w:val="Caption"/>
              <w:keepNext/>
              <w:widowControl w:val="0"/>
              <w:jc w:val="center"/>
              <w:rPr>
                <w:rFonts w:ascii="Calibri" w:hAnsi="Calibri"/>
                <w:sz w:val="22"/>
                <w:szCs w:val="22"/>
              </w:rPr>
            </w:pPr>
          </w:p>
        </w:tc>
        <w:tc>
          <w:tcPr>
            <w:tcW w:w="2648" w:type="dxa"/>
          </w:tcPr>
          <w:p w:rsidR="00C56567" w:rsidRDefault="00B931E6">
            <w:pPr>
              <w:pStyle w:val="Caption"/>
              <w:keepNext/>
              <w:widowControl w:val="0"/>
              <w:jc w:val="center"/>
              <w:rPr>
                <w:rFonts w:ascii="Calibri" w:hAnsi="Calibri"/>
                <w:sz w:val="22"/>
                <w:szCs w:val="22"/>
              </w:rPr>
            </w:pPr>
            <w:r>
              <w:rPr>
                <w:rFonts w:ascii="Calibri" w:hAnsi="Calibri"/>
                <w:sz w:val="22"/>
                <w:szCs w:val="22"/>
              </w:rPr>
              <w:t>One-Year Goal</w:t>
            </w:r>
          </w:p>
        </w:tc>
        <w:tc>
          <w:tcPr>
            <w:tcW w:w="2649" w:type="dxa"/>
          </w:tcPr>
          <w:p w:rsidR="00C56567" w:rsidRDefault="00B931E6">
            <w:pPr>
              <w:pStyle w:val="Caption"/>
              <w:keepNext/>
              <w:widowControl w:val="0"/>
              <w:jc w:val="center"/>
              <w:rPr>
                <w:rFonts w:ascii="Calibri" w:hAnsi="Calibri"/>
                <w:sz w:val="22"/>
                <w:szCs w:val="22"/>
              </w:rPr>
            </w:pPr>
            <w:r>
              <w:rPr>
                <w:rFonts w:ascii="Calibri" w:hAnsi="Calibri"/>
                <w:sz w:val="22"/>
                <w:szCs w:val="22"/>
              </w:rPr>
              <w:t>Actual</w:t>
            </w:r>
          </w:p>
        </w:tc>
      </w:tr>
      <w:tr w:rsidR="00C56567">
        <w:trPr>
          <w:cantSplit/>
        </w:trPr>
        <w:tc>
          <w:tcPr>
            <w:tcW w:w="4293" w:type="dxa"/>
          </w:tcPr>
          <w:p w:rsidR="00C56567" w:rsidRDefault="00B931E6">
            <w:pPr>
              <w:keepNext/>
              <w:spacing w:after="0" w:line="240" w:lineRule="auto"/>
              <w:ind w:right="432"/>
            </w:pPr>
            <w:r>
              <w:t xml:space="preserve">Number of homeless households to be provided affordable housing units </w:t>
            </w:r>
          </w:p>
        </w:tc>
        <w:tc>
          <w:tcPr>
            <w:tcW w:w="2648" w:type="dxa"/>
          </w:tcPr>
          <w:p w:rsidR="00C56567" w:rsidRDefault="00F7497C" w:rsidP="00F7497C">
            <w:pPr>
              <w:pStyle w:val="Caption"/>
              <w:keepNext/>
              <w:widowControl w:val="0"/>
              <w:rPr>
                <w:rFonts w:ascii="Calibri" w:hAnsi="Calibri"/>
                <w:sz w:val="22"/>
                <w:szCs w:val="22"/>
              </w:rPr>
            </w:pPr>
            <w:r>
              <w:rPr>
                <w:rFonts w:ascii="Calibri" w:hAnsi="Calibri"/>
                <w:sz w:val="22"/>
                <w:szCs w:val="22"/>
              </w:rPr>
              <w:t>35</w:t>
            </w:r>
          </w:p>
        </w:tc>
        <w:tc>
          <w:tcPr>
            <w:tcW w:w="2649" w:type="dxa"/>
          </w:tcPr>
          <w:p w:rsidR="00C56567" w:rsidRDefault="00B4265E">
            <w:pPr>
              <w:pStyle w:val="Caption"/>
              <w:keepNext/>
              <w:widowControl w:val="0"/>
              <w:rPr>
                <w:rFonts w:ascii="Calibri" w:hAnsi="Calibri"/>
                <w:sz w:val="22"/>
                <w:szCs w:val="22"/>
              </w:rPr>
            </w:pPr>
            <w:r>
              <w:rPr>
                <w:rFonts w:ascii="Calibri" w:hAnsi="Calibri"/>
                <w:sz w:val="22"/>
                <w:szCs w:val="22"/>
              </w:rPr>
              <w:t>0</w:t>
            </w:r>
          </w:p>
        </w:tc>
      </w:tr>
      <w:tr w:rsidR="00C56567">
        <w:trPr>
          <w:cantSplit/>
        </w:trPr>
        <w:tc>
          <w:tcPr>
            <w:tcW w:w="4293" w:type="dxa"/>
          </w:tcPr>
          <w:p w:rsidR="00C56567" w:rsidRDefault="00B931E6">
            <w:pPr>
              <w:keepNext/>
              <w:spacing w:after="0" w:line="240" w:lineRule="auto"/>
              <w:ind w:right="432"/>
            </w:pPr>
            <w:r>
              <w:t xml:space="preserve">Number of non-homeless households to be provided affordable housing units </w:t>
            </w:r>
          </w:p>
        </w:tc>
        <w:tc>
          <w:tcPr>
            <w:tcW w:w="2648" w:type="dxa"/>
          </w:tcPr>
          <w:p w:rsidR="00C56567" w:rsidRDefault="00F7497C">
            <w:pPr>
              <w:pStyle w:val="Caption"/>
              <w:keepNext/>
              <w:widowControl w:val="0"/>
              <w:rPr>
                <w:rFonts w:ascii="Calibri" w:hAnsi="Calibri"/>
                <w:sz w:val="22"/>
                <w:szCs w:val="22"/>
              </w:rPr>
            </w:pPr>
            <w:r>
              <w:rPr>
                <w:rFonts w:ascii="Calibri" w:hAnsi="Calibri"/>
                <w:sz w:val="22"/>
                <w:szCs w:val="22"/>
              </w:rPr>
              <w:t>32</w:t>
            </w:r>
          </w:p>
        </w:tc>
        <w:tc>
          <w:tcPr>
            <w:tcW w:w="2649" w:type="dxa"/>
          </w:tcPr>
          <w:p w:rsidR="00C56567" w:rsidRDefault="00B4265E">
            <w:pPr>
              <w:pStyle w:val="Caption"/>
              <w:keepNext/>
              <w:widowControl w:val="0"/>
              <w:rPr>
                <w:rFonts w:ascii="Calibri" w:hAnsi="Calibri"/>
                <w:sz w:val="22"/>
                <w:szCs w:val="22"/>
              </w:rPr>
            </w:pPr>
            <w:r>
              <w:rPr>
                <w:rFonts w:ascii="Calibri" w:hAnsi="Calibri"/>
                <w:sz w:val="22"/>
                <w:szCs w:val="22"/>
              </w:rPr>
              <w:t>83</w:t>
            </w:r>
          </w:p>
        </w:tc>
      </w:tr>
      <w:tr w:rsidR="00C56567">
        <w:trPr>
          <w:cantSplit/>
        </w:trPr>
        <w:tc>
          <w:tcPr>
            <w:tcW w:w="4293" w:type="dxa"/>
          </w:tcPr>
          <w:p w:rsidR="00C56567" w:rsidRDefault="00B931E6">
            <w:pPr>
              <w:keepNext/>
              <w:spacing w:after="0" w:line="240" w:lineRule="auto"/>
              <w:ind w:right="432"/>
            </w:pPr>
            <w:r>
              <w:t>Number of special-needs households to be provided affordable housing units</w:t>
            </w:r>
          </w:p>
        </w:tc>
        <w:tc>
          <w:tcPr>
            <w:tcW w:w="2648" w:type="dxa"/>
          </w:tcPr>
          <w:p w:rsidR="00C56567" w:rsidRDefault="00F7497C">
            <w:pPr>
              <w:pStyle w:val="Caption"/>
              <w:keepNext/>
              <w:widowControl w:val="0"/>
              <w:rPr>
                <w:rFonts w:ascii="Calibri" w:hAnsi="Calibri"/>
                <w:sz w:val="22"/>
                <w:szCs w:val="22"/>
              </w:rPr>
            </w:pPr>
            <w:r>
              <w:rPr>
                <w:rFonts w:ascii="Calibri" w:hAnsi="Calibri"/>
                <w:sz w:val="22"/>
                <w:szCs w:val="22"/>
              </w:rPr>
              <w:t>40</w:t>
            </w:r>
          </w:p>
        </w:tc>
        <w:tc>
          <w:tcPr>
            <w:tcW w:w="2649" w:type="dxa"/>
          </w:tcPr>
          <w:p w:rsidR="00C56567" w:rsidRDefault="00F7497C">
            <w:pPr>
              <w:pStyle w:val="Caption"/>
              <w:keepNext/>
              <w:widowControl w:val="0"/>
              <w:rPr>
                <w:rFonts w:ascii="Calibri" w:hAnsi="Calibri"/>
                <w:sz w:val="22"/>
                <w:szCs w:val="22"/>
              </w:rPr>
            </w:pPr>
            <w:r>
              <w:rPr>
                <w:rFonts w:ascii="Calibri" w:hAnsi="Calibri"/>
                <w:sz w:val="22"/>
                <w:szCs w:val="22"/>
              </w:rPr>
              <w:t>31</w:t>
            </w:r>
          </w:p>
        </w:tc>
      </w:tr>
      <w:tr w:rsidR="00C56567">
        <w:trPr>
          <w:cantSplit/>
        </w:trPr>
        <w:tc>
          <w:tcPr>
            <w:tcW w:w="4293" w:type="dxa"/>
          </w:tcPr>
          <w:p w:rsidR="00C56567" w:rsidRDefault="00B931E6">
            <w:pPr>
              <w:keepNext/>
              <w:spacing w:after="0" w:line="240" w:lineRule="auto"/>
              <w:ind w:right="432"/>
              <w:rPr>
                <w:b/>
              </w:rPr>
            </w:pPr>
            <w:r>
              <w:rPr>
                <w:b/>
              </w:rPr>
              <w:t>Total</w:t>
            </w:r>
          </w:p>
        </w:tc>
        <w:tc>
          <w:tcPr>
            <w:tcW w:w="2648" w:type="dxa"/>
          </w:tcPr>
          <w:p w:rsidR="00C56567" w:rsidRDefault="00F7497C">
            <w:pPr>
              <w:pStyle w:val="Caption"/>
              <w:keepNext/>
              <w:widowControl w:val="0"/>
              <w:rPr>
                <w:rFonts w:ascii="Calibri" w:hAnsi="Calibri"/>
                <w:sz w:val="22"/>
                <w:szCs w:val="22"/>
              </w:rPr>
            </w:pPr>
            <w:r>
              <w:rPr>
                <w:rFonts w:ascii="Calibri" w:hAnsi="Calibri"/>
                <w:sz w:val="22"/>
                <w:szCs w:val="22"/>
              </w:rPr>
              <w:t>107</w:t>
            </w:r>
          </w:p>
        </w:tc>
        <w:tc>
          <w:tcPr>
            <w:tcW w:w="2649" w:type="dxa"/>
          </w:tcPr>
          <w:p w:rsidR="00C56567" w:rsidRDefault="00B4265E">
            <w:pPr>
              <w:pStyle w:val="Caption"/>
              <w:keepNext/>
              <w:widowControl w:val="0"/>
              <w:rPr>
                <w:rFonts w:ascii="Calibri" w:hAnsi="Calibri"/>
                <w:sz w:val="22"/>
                <w:szCs w:val="22"/>
              </w:rPr>
            </w:pPr>
            <w:r>
              <w:rPr>
                <w:rFonts w:ascii="Calibri" w:hAnsi="Calibri"/>
                <w:sz w:val="22"/>
                <w:szCs w:val="22"/>
              </w:rPr>
              <w:t>85</w:t>
            </w:r>
          </w:p>
        </w:tc>
      </w:tr>
    </w:tbl>
    <w:p w:rsidR="00C56567" w:rsidRDefault="00B931E6">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FB21A6">
        <w:rPr>
          <w:rFonts w:asciiTheme="minorHAnsi" w:hAnsiTheme="minorHAnsi"/>
          <w:noProof/>
        </w:rPr>
        <w:t>11</w:t>
      </w:r>
      <w:r>
        <w:rPr>
          <w:rFonts w:asciiTheme="minorHAnsi" w:hAnsiTheme="minorHAnsi"/>
        </w:rPr>
        <w:fldChar w:fldCharType="end"/>
      </w:r>
      <w:r>
        <w:rPr>
          <w:rFonts w:asciiTheme="minorHAnsi" w:hAnsiTheme="minorHAnsi"/>
        </w:rPr>
        <w:t xml:space="preserve"> – Number of Households</w:t>
      </w:r>
    </w:p>
    <w:p w:rsidR="00C56567" w:rsidRDefault="00C56567">
      <w:pPr>
        <w:rPr>
          <w:rFonts w:cs="Arial"/>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293"/>
        <w:gridCol w:w="2648"/>
        <w:gridCol w:w="2649"/>
      </w:tblGrid>
      <w:tr w:rsidR="00C56567">
        <w:trPr>
          <w:cantSplit/>
          <w:tblHeader/>
        </w:trPr>
        <w:tc>
          <w:tcPr>
            <w:tcW w:w="4293" w:type="dxa"/>
          </w:tcPr>
          <w:p w:rsidR="00C56567" w:rsidRDefault="00C56567">
            <w:pPr>
              <w:pStyle w:val="Caption"/>
              <w:keepNext/>
              <w:widowControl w:val="0"/>
              <w:jc w:val="center"/>
              <w:rPr>
                <w:rFonts w:ascii="Calibri" w:hAnsi="Calibri"/>
                <w:sz w:val="22"/>
                <w:szCs w:val="22"/>
              </w:rPr>
            </w:pPr>
          </w:p>
        </w:tc>
        <w:tc>
          <w:tcPr>
            <w:tcW w:w="2648" w:type="dxa"/>
          </w:tcPr>
          <w:p w:rsidR="00C56567" w:rsidRDefault="00B931E6">
            <w:pPr>
              <w:pStyle w:val="Caption"/>
              <w:keepNext/>
              <w:widowControl w:val="0"/>
              <w:jc w:val="center"/>
              <w:rPr>
                <w:rFonts w:ascii="Calibri" w:hAnsi="Calibri"/>
                <w:sz w:val="22"/>
                <w:szCs w:val="22"/>
              </w:rPr>
            </w:pPr>
            <w:r>
              <w:rPr>
                <w:rFonts w:ascii="Calibri" w:hAnsi="Calibri"/>
                <w:sz w:val="22"/>
                <w:szCs w:val="22"/>
              </w:rPr>
              <w:t>One-Year Goal</w:t>
            </w:r>
          </w:p>
        </w:tc>
        <w:tc>
          <w:tcPr>
            <w:tcW w:w="2649" w:type="dxa"/>
          </w:tcPr>
          <w:p w:rsidR="00C56567" w:rsidRDefault="00B931E6">
            <w:pPr>
              <w:pStyle w:val="Caption"/>
              <w:keepNext/>
              <w:widowControl w:val="0"/>
              <w:jc w:val="center"/>
              <w:rPr>
                <w:rFonts w:ascii="Calibri" w:hAnsi="Calibri"/>
                <w:sz w:val="22"/>
                <w:szCs w:val="22"/>
              </w:rPr>
            </w:pPr>
            <w:r>
              <w:rPr>
                <w:rFonts w:ascii="Calibri" w:hAnsi="Calibri"/>
                <w:sz w:val="22"/>
                <w:szCs w:val="22"/>
              </w:rPr>
              <w:t>Actual</w:t>
            </w:r>
          </w:p>
        </w:tc>
      </w:tr>
      <w:tr w:rsidR="00C56567">
        <w:trPr>
          <w:cantSplit/>
        </w:trPr>
        <w:tc>
          <w:tcPr>
            <w:tcW w:w="4293" w:type="dxa"/>
          </w:tcPr>
          <w:p w:rsidR="00C56567" w:rsidRDefault="00B931E6">
            <w:pPr>
              <w:keepNext/>
              <w:spacing w:after="0" w:line="240" w:lineRule="auto"/>
              <w:ind w:right="432"/>
            </w:pPr>
            <w:r>
              <w:t xml:space="preserve">Number of households supported through rental assistance </w:t>
            </w:r>
          </w:p>
        </w:tc>
        <w:tc>
          <w:tcPr>
            <w:tcW w:w="2648" w:type="dxa"/>
          </w:tcPr>
          <w:p w:rsidR="00C56567" w:rsidRDefault="00B4265E">
            <w:pPr>
              <w:pStyle w:val="Caption"/>
              <w:keepNext/>
              <w:widowControl w:val="0"/>
              <w:rPr>
                <w:rFonts w:ascii="Calibri" w:hAnsi="Calibri"/>
                <w:sz w:val="22"/>
                <w:szCs w:val="22"/>
              </w:rPr>
            </w:pPr>
            <w:r>
              <w:rPr>
                <w:rFonts w:ascii="Calibri" w:hAnsi="Calibri"/>
                <w:sz w:val="22"/>
                <w:szCs w:val="22"/>
              </w:rPr>
              <w:t>0</w:t>
            </w:r>
          </w:p>
        </w:tc>
        <w:tc>
          <w:tcPr>
            <w:tcW w:w="2649" w:type="dxa"/>
          </w:tcPr>
          <w:p w:rsidR="00C56567" w:rsidRDefault="00FF3E7A">
            <w:pPr>
              <w:pStyle w:val="Caption"/>
              <w:keepNext/>
              <w:widowControl w:val="0"/>
              <w:rPr>
                <w:rFonts w:ascii="Calibri" w:hAnsi="Calibri"/>
                <w:sz w:val="22"/>
                <w:szCs w:val="22"/>
              </w:rPr>
            </w:pPr>
            <w:r>
              <w:rPr>
                <w:rFonts w:ascii="Calibri" w:hAnsi="Calibri"/>
                <w:sz w:val="22"/>
                <w:szCs w:val="22"/>
              </w:rPr>
              <w:t>0</w:t>
            </w:r>
          </w:p>
        </w:tc>
      </w:tr>
      <w:tr w:rsidR="00C56567">
        <w:trPr>
          <w:cantSplit/>
        </w:trPr>
        <w:tc>
          <w:tcPr>
            <w:tcW w:w="4293" w:type="dxa"/>
          </w:tcPr>
          <w:p w:rsidR="00C56567" w:rsidRDefault="00B931E6">
            <w:pPr>
              <w:keepNext/>
              <w:spacing w:after="0" w:line="240" w:lineRule="auto"/>
              <w:ind w:right="432"/>
            </w:pPr>
            <w:r>
              <w:t>Number of households supported through the production of new units</w:t>
            </w:r>
          </w:p>
        </w:tc>
        <w:tc>
          <w:tcPr>
            <w:tcW w:w="2648" w:type="dxa"/>
          </w:tcPr>
          <w:p w:rsidR="00C56567" w:rsidRDefault="00F7497C">
            <w:pPr>
              <w:pStyle w:val="Caption"/>
              <w:keepNext/>
              <w:widowControl w:val="0"/>
              <w:rPr>
                <w:rFonts w:ascii="Calibri" w:hAnsi="Calibri"/>
                <w:sz w:val="22"/>
                <w:szCs w:val="22"/>
              </w:rPr>
            </w:pPr>
            <w:r>
              <w:rPr>
                <w:rFonts w:ascii="Calibri" w:hAnsi="Calibri"/>
                <w:sz w:val="22"/>
                <w:szCs w:val="22"/>
              </w:rPr>
              <w:t>7</w:t>
            </w:r>
          </w:p>
        </w:tc>
        <w:tc>
          <w:tcPr>
            <w:tcW w:w="2649" w:type="dxa"/>
          </w:tcPr>
          <w:p w:rsidR="00C56567" w:rsidRDefault="00F7497C">
            <w:pPr>
              <w:pStyle w:val="Caption"/>
              <w:keepNext/>
              <w:widowControl w:val="0"/>
              <w:rPr>
                <w:rFonts w:ascii="Calibri" w:hAnsi="Calibri"/>
                <w:sz w:val="22"/>
                <w:szCs w:val="22"/>
              </w:rPr>
            </w:pPr>
            <w:r>
              <w:rPr>
                <w:rFonts w:ascii="Calibri" w:hAnsi="Calibri"/>
                <w:sz w:val="22"/>
                <w:szCs w:val="22"/>
              </w:rPr>
              <w:t>5</w:t>
            </w:r>
          </w:p>
        </w:tc>
      </w:tr>
      <w:tr w:rsidR="00C56567">
        <w:trPr>
          <w:cantSplit/>
        </w:trPr>
        <w:tc>
          <w:tcPr>
            <w:tcW w:w="4293" w:type="dxa"/>
          </w:tcPr>
          <w:p w:rsidR="00C56567" w:rsidRDefault="00B931E6">
            <w:pPr>
              <w:keepNext/>
              <w:spacing w:after="0" w:line="240" w:lineRule="auto"/>
              <w:ind w:right="432"/>
            </w:pPr>
            <w:r>
              <w:t>Number of households supported through the rehab of existing units</w:t>
            </w:r>
          </w:p>
        </w:tc>
        <w:tc>
          <w:tcPr>
            <w:tcW w:w="2648" w:type="dxa"/>
          </w:tcPr>
          <w:p w:rsidR="00C56567" w:rsidRDefault="00F7497C">
            <w:pPr>
              <w:pStyle w:val="Caption"/>
              <w:keepNext/>
              <w:widowControl w:val="0"/>
              <w:rPr>
                <w:rFonts w:ascii="Calibri" w:hAnsi="Calibri"/>
                <w:sz w:val="22"/>
                <w:szCs w:val="22"/>
              </w:rPr>
            </w:pPr>
            <w:r>
              <w:rPr>
                <w:rFonts w:ascii="Calibri" w:hAnsi="Calibri"/>
                <w:sz w:val="22"/>
                <w:szCs w:val="22"/>
              </w:rPr>
              <w:t>52</w:t>
            </w:r>
          </w:p>
        </w:tc>
        <w:tc>
          <w:tcPr>
            <w:tcW w:w="2649" w:type="dxa"/>
          </w:tcPr>
          <w:p w:rsidR="00C56567" w:rsidRDefault="00FF3E7A">
            <w:pPr>
              <w:pStyle w:val="Caption"/>
              <w:keepNext/>
              <w:widowControl w:val="0"/>
              <w:rPr>
                <w:rFonts w:ascii="Calibri" w:hAnsi="Calibri"/>
                <w:sz w:val="22"/>
                <w:szCs w:val="22"/>
              </w:rPr>
            </w:pPr>
            <w:r>
              <w:rPr>
                <w:rFonts w:ascii="Calibri" w:hAnsi="Calibri"/>
                <w:sz w:val="22"/>
                <w:szCs w:val="22"/>
              </w:rPr>
              <w:t>43</w:t>
            </w:r>
          </w:p>
        </w:tc>
      </w:tr>
      <w:tr w:rsidR="00C56567">
        <w:trPr>
          <w:cantSplit/>
        </w:trPr>
        <w:tc>
          <w:tcPr>
            <w:tcW w:w="4293" w:type="dxa"/>
          </w:tcPr>
          <w:p w:rsidR="00C56567" w:rsidRDefault="00B931E6">
            <w:pPr>
              <w:keepNext/>
              <w:spacing w:after="0" w:line="240" w:lineRule="auto"/>
              <w:ind w:right="432"/>
            </w:pPr>
            <w:r>
              <w:t>Number of households supported through the acquisition of existing units</w:t>
            </w:r>
          </w:p>
        </w:tc>
        <w:tc>
          <w:tcPr>
            <w:tcW w:w="2648" w:type="dxa"/>
          </w:tcPr>
          <w:p w:rsidR="00C56567" w:rsidRDefault="00FF3E7A">
            <w:pPr>
              <w:pStyle w:val="Caption"/>
              <w:keepNext/>
              <w:widowControl w:val="0"/>
              <w:rPr>
                <w:rFonts w:ascii="Calibri" w:hAnsi="Calibri"/>
                <w:sz w:val="22"/>
                <w:szCs w:val="22"/>
              </w:rPr>
            </w:pPr>
            <w:r>
              <w:rPr>
                <w:rFonts w:ascii="Calibri" w:hAnsi="Calibri"/>
                <w:sz w:val="22"/>
                <w:szCs w:val="22"/>
              </w:rPr>
              <w:t>12</w:t>
            </w:r>
          </w:p>
        </w:tc>
        <w:tc>
          <w:tcPr>
            <w:tcW w:w="2649" w:type="dxa"/>
          </w:tcPr>
          <w:p w:rsidR="00C56567" w:rsidRDefault="00FF3E7A">
            <w:pPr>
              <w:pStyle w:val="Caption"/>
              <w:keepNext/>
              <w:widowControl w:val="0"/>
              <w:rPr>
                <w:rFonts w:ascii="Calibri" w:hAnsi="Calibri"/>
                <w:sz w:val="22"/>
                <w:szCs w:val="22"/>
              </w:rPr>
            </w:pPr>
            <w:r>
              <w:rPr>
                <w:rFonts w:ascii="Calibri" w:hAnsi="Calibri"/>
                <w:sz w:val="22"/>
                <w:szCs w:val="22"/>
              </w:rPr>
              <w:t>35</w:t>
            </w:r>
          </w:p>
        </w:tc>
      </w:tr>
      <w:tr w:rsidR="00C56567">
        <w:trPr>
          <w:cantSplit/>
        </w:trPr>
        <w:tc>
          <w:tcPr>
            <w:tcW w:w="4293" w:type="dxa"/>
          </w:tcPr>
          <w:p w:rsidR="00C56567" w:rsidRDefault="00B931E6">
            <w:pPr>
              <w:keepNext/>
              <w:spacing w:after="0" w:line="240" w:lineRule="auto"/>
              <w:ind w:right="432"/>
              <w:rPr>
                <w:b/>
              </w:rPr>
            </w:pPr>
            <w:r>
              <w:rPr>
                <w:b/>
              </w:rPr>
              <w:t>Total</w:t>
            </w:r>
          </w:p>
        </w:tc>
        <w:tc>
          <w:tcPr>
            <w:tcW w:w="2648" w:type="dxa"/>
          </w:tcPr>
          <w:p w:rsidR="00C56567" w:rsidRDefault="00F7497C">
            <w:pPr>
              <w:pStyle w:val="Caption"/>
              <w:keepNext/>
              <w:widowControl w:val="0"/>
              <w:rPr>
                <w:rFonts w:ascii="Calibri" w:hAnsi="Calibri"/>
                <w:sz w:val="22"/>
                <w:szCs w:val="22"/>
              </w:rPr>
            </w:pPr>
            <w:r>
              <w:rPr>
                <w:rFonts w:ascii="Calibri" w:hAnsi="Calibri"/>
                <w:sz w:val="22"/>
                <w:szCs w:val="22"/>
              </w:rPr>
              <w:t>71</w:t>
            </w:r>
          </w:p>
        </w:tc>
        <w:tc>
          <w:tcPr>
            <w:tcW w:w="2649" w:type="dxa"/>
          </w:tcPr>
          <w:p w:rsidR="00C56567" w:rsidRDefault="00F7497C">
            <w:pPr>
              <w:pStyle w:val="Caption"/>
              <w:keepNext/>
              <w:widowControl w:val="0"/>
              <w:rPr>
                <w:rFonts w:ascii="Calibri" w:hAnsi="Calibri"/>
                <w:sz w:val="22"/>
                <w:szCs w:val="22"/>
              </w:rPr>
            </w:pPr>
            <w:r>
              <w:rPr>
                <w:rFonts w:ascii="Calibri" w:hAnsi="Calibri"/>
                <w:sz w:val="22"/>
                <w:szCs w:val="22"/>
              </w:rPr>
              <w:t>83</w:t>
            </w:r>
          </w:p>
        </w:tc>
      </w:tr>
    </w:tbl>
    <w:p w:rsidR="00C56567" w:rsidRDefault="00B931E6" w:rsidP="00A76527">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FB21A6">
        <w:rPr>
          <w:rFonts w:asciiTheme="minorHAnsi" w:hAnsiTheme="minorHAnsi"/>
          <w:noProof/>
        </w:rPr>
        <w:t>12</w:t>
      </w:r>
      <w:r>
        <w:rPr>
          <w:rFonts w:asciiTheme="minorHAnsi" w:hAnsiTheme="minorHAnsi"/>
        </w:rPr>
        <w:fldChar w:fldCharType="end"/>
      </w:r>
      <w:r>
        <w:rPr>
          <w:rFonts w:asciiTheme="minorHAnsi" w:hAnsiTheme="minorHAnsi"/>
        </w:rPr>
        <w:t xml:space="preserve"> – Number of Households Supported</w:t>
      </w:r>
    </w:p>
    <w:p w:rsidR="00A76527" w:rsidRDefault="00A76527" w:rsidP="00A76527">
      <w:pPr>
        <w:widowControl w:val="0"/>
        <w:spacing w:after="0" w:line="240" w:lineRule="auto"/>
        <w:rPr>
          <w:b/>
          <w:sz w:val="24"/>
          <w:szCs w:val="24"/>
        </w:rPr>
      </w:pPr>
    </w:p>
    <w:p w:rsidR="00C56567" w:rsidRDefault="00B931E6" w:rsidP="00A76527">
      <w:pPr>
        <w:widowControl w:val="0"/>
        <w:spacing w:after="0" w:line="240" w:lineRule="auto"/>
        <w:rPr>
          <w:b/>
          <w:sz w:val="24"/>
          <w:szCs w:val="24"/>
        </w:rPr>
      </w:pPr>
      <w:r>
        <w:rPr>
          <w:b/>
          <w:sz w:val="24"/>
          <w:szCs w:val="24"/>
        </w:rPr>
        <w:t>Discuss the difference between goals and outcomes and problems encountered in meeting these goals.</w:t>
      </w:r>
    </w:p>
    <w:p w:rsidR="00A76527" w:rsidRDefault="00A76527" w:rsidP="00A76527">
      <w:pPr>
        <w:widowControl w:val="0"/>
        <w:spacing w:after="0" w:line="240" w:lineRule="auto"/>
        <w:rPr>
          <w:b/>
          <w:sz w:val="24"/>
          <w:szCs w:val="24"/>
        </w:rPr>
      </w:pPr>
    </w:p>
    <w:p w:rsidR="00F7497C" w:rsidRDefault="00F7497C" w:rsidP="00A76527">
      <w:pPr>
        <w:spacing w:after="0" w:line="240" w:lineRule="auto"/>
        <w:rPr>
          <w:rFonts w:cs="Arial"/>
        </w:rPr>
      </w:pPr>
      <w:r>
        <w:rPr>
          <w:rFonts w:cs="Arial"/>
        </w:rPr>
        <w:t>The City of Columbia ended its Tenant Based Rental Assistance (TBRA) funded through the Columbia Housing Authority in FY 2015.  TBRA was not identified as a high priority when compared to other affordable housing activities during the public input process for the 2015-2019 Consolidated Plan.  The City met its goals for producing new affordable owner occupied homes in 2016 and greatly exceeded its goals for homeownership assistance with 35 participants.  The City iss significantly behind in rehabilitation of existing housing, however the minor home repair program is exceeding program goals.  The Columbia Housing Authority will complete and fully lease its Stuart Parker development which will result in additional HOME funded outcomes of 7 rental units in FY 2017.</w:t>
      </w:r>
    </w:p>
    <w:p w:rsidR="00F7497C" w:rsidRDefault="00F7497C" w:rsidP="00A76527">
      <w:pPr>
        <w:widowControl w:val="0"/>
        <w:spacing w:after="0" w:line="240" w:lineRule="auto"/>
        <w:rPr>
          <w:b/>
          <w:sz w:val="24"/>
          <w:szCs w:val="24"/>
        </w:rPr>
      </w:pPr>
    </w:p>
    <w:p w:rsidR="00C56567" w:rsidRDefault="00B931E6" w:rsidP="00A76527">
      <w:pPr>
        <w:widowControl w:val="0"/>
        <w:spacing w:after="0" w:line="240" w:lineRule="auto"/>
        <w:rPr>
          <w:b/>
          <w:sz w:val="24"/>
          <w:szCs w:val="24"/>
        </w:rPr>
      </w:pPr>
      <w:r>
        <w:rPr>
          <w:b/>
          <w:sz w:val="24"/>
          <w:szCs w:val="24"/>
        </w:rPr>
        <w:t>Discuss how these outcomes will impact future annual action plans.</w:t>
      </w:r>
    </w:p>
    <w:p w:rsidR="00F7497C" w:rsidRDefault="00F7497C" w:rsidP="00A76527">
      <w:pPr>
        <w:spacing w:after="0" w:line="240" w:lineRule="auto"/>
        <w:rPr>
          <w:rFonts w:cs="Arial"/>
        </w:rPr>
      </w:pPr>
      <w:r>
        <w:rPr>
          <w:rFonts w:cs="Arial"/>
        </w:rPr>
        <w:t>These outcomes will impact future annual action plans in 2 ways.  The Community Development Commission (CDC) will likely review outcomes towards 5-year goals and determine if the next years’ recommended allocations can be put towards goals that are laggin behind.  Second, the C</w:t>
      </w:r>
      <w:r w:rsidR="001127C4">
        <w:rPr>
          <w:rFonts w:cs="Arial"/>
        </w:rPr>
        <w:t>tiy will likely continue to support additional</w:t>
      </w:r>
      <w:r>
        <w:rPr>
          <w:rFonts w:cs="Arial"/>
        </w:rPr>
        <w:t xml:space="preserve"> Homeownership Assistance Program</w:t>
      </w:r>
      <w:r w:rsidR="001127C4">
        <w:rPr>
          <w:rFonts w:cs="Arial"/>
        </w:rPr>
        <w:t xml:space="preserve"> efforts</w:t>
      </w:r>
      <w:r>
        <w:rPr>
          <w:rFonts w:cs="Arial"/>
        </w:rPr>
        <w:t xml:space="preserve">, due to </w:t>
      </w:r>
      <w:r w:rsidR="001127C4">
        <w:rPr>
          <w:rFonts w:cs="Arial"/>
        </w:rPr>
        <w:t xml:space="preserve">increased </w:t>
      </w:r>
      <w:r>
        <w:rPr>
          <w:rFonts w:cs="Arial"/>
        </w:rPr>
        <w:t>the demand for that program.  The housing market changes in different cycles and low-income first time homebuyers are more adversely impacted by downturns in the housing market.  The City is working to broaden the availability for homeownership opportunities for low to moderate income households, while market conditions are favorable.</w:t>
      </w:r>
    </w:p>
    <w:p w:rsidR="00F7497C" w:rsidRDefault="00F7497C" w:rsidP="00A76527">
      <w:pPr>
        <w:widowControl w:val="0"/>
        <w:spacing w:after="0" w:line="240" w:lineRule="auto"/>
        <w:rPr>
          <w:b/>
          <w:sz w:val="24"/>
          <w:szCs w:val="24"/>
        </w:rPr>
      </w:pPr>
    </w:p>
    <w:p w:rsidR="00C56567" w:rsidRDefault="00B931E6">
      <w:pPr>
        <w:keepNext/>
        <w:widowControl w:val="0"/>
        <w:spacing w:line="204" w:lineRule="auto"/>
        <w:rPr>
          <w:b/>
          <w:sz w:val="24"/>
          <w:szCs w:val="24"/>
        </w:rPr>
      </w:pPr>
      <w:r>
        <w:rPr>
          <w:b/>
          <w:sz w:val="24"/>
          <w:szCs w:val="24"/>
        </w:rPr>
        <w:t>Include the number of extremely low-income, low-income, and moderate-income persons served by each activity where information on income by family size is required to determine the eligibility of the activity.</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390"/>
        <w:gridCol w:w="3099"/>
        <w:gridCol w:w="3101"/>
      </w:tblGrid>
      <w:tr w:rsidR="00C56567" w:rsidTr="004609AB">
        <w:trPr>
          <w:cantSplit/>
        </w:trPr>
        <w:tc>
          <w:tcPr>
            <w:tcW w:w="3386" w:type="dxa"/>
            <w:shd w:val="clear" w:color="auto" w:fill="D9D9D9" w:themeFill="background1" w:themeFillShade="D9"/>
          </w:tcPr>
          <w:p w:rsidR="00C56567" w:rsidRDefault="00B931E6">
            <w:pPr>
              <w:keepNext/>
              <w:widowControl w:val="0"/>
              <w:spacing w:after="0" w:line="240" w:lineRule="auto"/>
              <w:jc w:val="center"/>
              <w:rPr>
                <w:b/>
              </w:rPr>
            </w:pPr>
            <w:r>
              <w:rPr>
                <w:b/>
              </w:rPr>
              <w:t>Number  of Persons Served</w:t>
            </w:r>
          </w:p>
        </w:tc>
        <w:tc>
          <w:tcPr>
            <w:tcW w:w="3094" w:type="dxa"/>
            <w:shd w:val="clear" w:color="auto" w:fill="D9D9D9" w:themeFill="background1" w:themeFillShade="D9"/>
          </w:tcPr>
          <w:p w:rsidR="00C56567" w:rsidRDefault="00B931E6">
            <w:pPr>
              <w:keepNext/>
              <w:widowControl w:val="0"/>
              <w:spacing w:after="0" w:line="240" w:lineRule="auto"/>
              <w:jc w:val="center"/>
              <w:rPr>
                <w:b/>
              </w:rPr>
            </w:pPr>
            <w:r>
              <w:rPr>
                <w:b/>
              </w:rPr>
              <w:t>CDBG Actual</w:t>
            </w:r>
          </w:p>
        </w:tc>
        <w:tc>
          <w:tcPr>
            <w:tcW w:w="3096" w:type="dxa"/>
            <w:shd w:val="clear" w:color="auto" w:fill="D9D9D9" w:themeFill="background1" w:themeFillShade="D9"/>
          </w:tcPr>
          <w:p w:rsidR="00C56567" w:rsidRDefault="00B931E6">
            <w:pPr>
              <w:keepNext/>
              <w:widowControl w:val="0"/>
              <w:spacing w:after="0" w:line="240" w:lineRule="auto"/>
              <w:jc w:val="center"/>
              <w:rPr>
                <w:b/>
              </w:rPr>
            </w:pPr>
            <w:r>
              <w:rPr>
                <w:b/>
              </w:rPr>
              <w:t>HOME Actual</w:t>
            </w:r>
          </w:p>
        </w:tc>
      </w:tr>
      <w:tr w:rsidR="00C56567">
        <w:trPr>
          <w:cantSplit/>
        </w:trPr>
        <w:tc>
          <w:tcPr>
            <w:tcW w:w="3386" w:type="dxa"/>
          </w:tcPr>
          <w:p w:rsidR="00C56567" w:rsidRDefault="00B931E6">
            <w:pPr>
              <w:keepNext/>
              <w:widowControl w:val="0"/>
              <w:tabs>
                <w:tab w:val="left" w:pos="2070"/>
              </w:tabs>
              <w:spacing w:after="0" w:line="240" w:lineRule="auto"/>
              <w:ind w:right="162"/>
            </w:pPr>
            <w:r>
              <w:t>Extremely Low-income</w:t>
            </w:r>
          </w:p>
        </w:tc>
        <w:tc>
          <w:tcPr>
            <w:tcW w:w="3094" w:type="dxa"/>
          </w:tcPr>
          <w:p w:rsidR="00C56567" w:rsidRDefault="00D20157" w:rsidP="009A0B91">
            <w:pPr>
              <w:keepNext/>
              <w:widowControl w:val="0"/>
              <w:spacing w:after="0" w:line="240" w:lineRule="auto"/>
              <w:jc w:val="center"/>
              <w:rPr>
                <w:b/>
              </w:rPr>
            </w:pPr>
            <w:r>
              <w:rPr>
                <w:b/>
              </w:rPr>
              <w:t>38</w:t>
            </w:r>
          </w:p>
        </w:tc>
        <w:tc>
          <w:tcPr>
            <w:tcW w:w="3096" w:type="dxa"/>
          </w:tcPr>
          <w:p w:rsidR="00C56567" w:rsidRDefault="00D20157" w:rsidP="009A0B91">
            <w:pPr>
              <w:keepNext/>
              <w:widowControl w:val="0"/>
              <w:spacing w:after="0" w:line="240" w:lineRule="auto"/>
              <w:jc w:val="center"/>
              <w:rPr>
                <w:b/>
              </w:rPr>
            </w:pPr>
            <w:r>
              <w:rPr>
                <w:b/>
              </w:rPr>
              <w:t>2</w:t>
            </w:r>
          </w:p>
        </w:tc>
      </w:tr>
      <w:tr w:rsidR="00C56567">
        <w:trPr>
          <w:cantSplit/>
        </w:trPr>
        <w:tc>
          <w:tcPr>
            <w:tcW w:w="3386" w:type="dxa"/>
          </w:tcPr>
          <w:p w:rsidR="00C56567" w:rsidRDefault="00B931E6">
            <w:pPr>
              <w:keepNext/>
              <w:widowControl w:val="0"/>
              <w:spacing w:after="0" w:line="240" w:lineRule="auto"/>
              <w:ind w:right="432"/>
            </w:pPr>
            <w:r>
              <w:t>Low-income</w:t>
            </w:r>
          </w:p>
        </w:tc>
        <w:tc>
          <w:tcPr>
            <w:tcW w:w="3094" w:type="dxa"/>
          </w:tcPr>
          <w:p w:rsidR="00C56567" w:rsidRDefault="00D20157" w:rsidP="009A0B91">
            <w:pPr>
              <w:keepNext/>
              <w:widowControl w:val="0"/>
              <w:spacing w:after="0" w:line="240" w:lineRule="auto"/>
              <w:jc w:val="center"/>
              <w:rPr>
                <w:b/>
              </w:rPr>
            </w:pPr>
            <w:r>
              <w:rPr>
                <w:b/>
              </w:rPr>
              <w:t>26</w:t>
            </w:r>
          </w:p>
        </w:tc>
        <w:tc>
          <w:tcPr>
            <w:tcW w:w="3096" w:type="dxa"/>
          </w:tcPr>
          <w:p w:rsidR="00C56567" w:rsidRDefault="009A0B91" w:rsidP="009A0B91">
            <w:pPr>
              <w:keepNext/>
              <w:widowControl w:val="0"/>
              <w:spacing w:after="0" w:line="240" w:lineRule="auto"/>
              <w:jc w:val="center"/>
              <w:rPr>
                <w:b/>
              </w:rPr>
            </w:pPr>
            <w:r>
              <w:rPr>
                <w:b/>
              </w:rPr>
              <w:t>6</w:t>
            </w:r>
          </w:p>
        </w:tc>
      </w:tr>
      <w:tr w:rsidR="00C56567">
        <w:trPr>
          <w:cantSplit/>
        </w:trPr>
        <w:tc>
          <w:tcPr>
            <w:tcW w:w="3386" w:type="dxa"/>
          </w:tcPr>
          <w:p w:rsidR="00C56567" w:rsidRDefault="00B931E6">
            <w:pPr>
              <w:keepNext/>
              <w:widowControl w:val="0"/>
              <w:spacing w:after="0" w:line="240" w:lineRule="auto"/>
              <w:ind w:right="432"/>
            </w:pPr>
            <w:r>
              <w:t>Moderate-income</w:t>
            </w:r>
          </w:p>
        </w:tc>
        <w:tc>
          <w:tcPr>
            <w:tcW w:w="3094" w:type="dxa"/>
          </w:tcPr>
          <w:p w:rsidR="00C56567" w:rsidRDefault="00D20157" w:rsidP="009A0B91">
            <w:pPr>
              <w:keepNext/>
              <w:widowControl w:val="0"/>
              <w:spacing w:after="0" w:line="240" w:lineRule="auto"/>
              <w:jc w:val="center"/>
              <w:rPr>
                <w:b/>
              </w:rPr>
            </w:pPr>
            <w:r>
              <w:rPr>
                <w:b/>
              </w:rPr>
              <w:t>61</w:t>
            </w:r>
          </w:p>
        </w:tc>
        <w:tc>
          <w:tcPr>
            <w:tcW w:w="3096" w:type="dxa"/>
          </w:tcPr>
          <w:p w:rsidR="00C56567" w:rsidRDefault="00D20157" w:rsidP="009A0B91">
            <w:pPr>
              <w:keepNext/>
              <w:widowControl w:val="0"/>
              <w:spacing w:after="0" w:line="240" w:lineRule="auto"/>
              <w:jc w:val="center"/>
              <w:rPr>
                <w:b/>
              </w:rPr>
            </w:pPr>
            <w:r>
              <w:rPr>
                <w:b/>
              </w:rPr>
              <w:t>20</w:t>
            </w:r>
          </w:p>
        </w:tc>
      </w:tr>
      <w:tr w:rsidR="00C56567">
        <w:trPr>
          <w:cantSplit/>
        </w:trPr>
        <w:tc>
          <w:tcPr>
            <w:tcW w:w="3386" w:type="dxa"/>
          </w:tcPr>
          <w:p w:rsidR="00C56567" w:rsidRDefault="00B931E6">
            <w:pPr>
              <w:keepNext/>
              <w:widowControl w:val="0"/>
              <w:spacing w:after="0" w:line="240" w:lineRule="auto"/>
              <w:ind w:right="432"/>
              <w:rPr>
                <w:b/>
              </w:rPr>
            </w:pPr>
            <w:r>
              <w:rPr>
                <w:b/>
              </w:rPr>
              <w:t>Total</w:t>
            </w:r>
          </w:p>
        </w:tc>
        <w:tc>
          <w:tcPr>
            <w:tcW w:w="3094" w:type="dxa"/>
          </w:tcPr>
          <w:p w:rsidR="00C56567" w:rsidRDefault="009A0B91" w:rsidP="009A0B91">
            <w:pPr>
              <w:keepNext/>
              <w:widowControl w:val="0"/>
              <w:spacing w:after="0" w:line="240" w:lineRule="auto"/>
              <w:jc w:val="center"/>
              <w:rPr>
                <w:b/>
              </w:rPr>
            </w:pPr>
            <w:r>
              <w:rPr>
                <w:b/>
              </w:rPr>
              <w:t>125</w:t>
            </w:r>
          </w:p>
        </w:tc>
        <w:tc>
          <w:tcPr>
            <w:tcW w:w="3096" w:type="dxa"/>
          </w:tcPr>
          <w:p w:rsidR="00C56567" w:rsidRDefault="009A0B91" w:rsidP="009A0B91">
            <w:pPr>
              <w:keepNext/>
              <w:widowControl w:val="0"/>
              <w:spacing w:after="0" w:line="240" w:lineRule="auto"/>
              <w:jc w:val="center"/>
              <w:rPr>
                <w:b/>
              </w:rPr>
            </w:pPr>
            <w:r>
              <w:rPr>
                <w:b/>
              </w:rPr>
              <w:t>28</w:t>
            </w:r>
          </w:p>
        </w:tc>
      </w:tr>
    </w:tbl>
    <w:p w:rsidR="00C56567" w:rsidRDefault="00B931E6">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FB21A6">
        <w:rPr>
          <w:rFonts w:asciiTheme="minorHAnsi" w:hAnsiTheme="minorHAnsi"/>
          <w:noProof/>
        </w:rPr>
        <w:t>13</w:t>
      </w:r>
      <w:r>
        <w:rPr>
          <w:rFonts w:asciiTheme="minorHAnsi" w:hAnsiTheme="minorHAnsi"/>
        </w:rPr>
        <w:fldChar w:fldCharType="end"/>
      </w:r>
      <w:r>
        <w:rPr>
          <w:rFonts w:asciiTheme="minorHAnsi" w:hAnsiTheme="minorHAnsi"/>
        </w:rPr>
        <w:t xml:space="preserve"> – Number of Persons Served</w:t>
      </w:r>
    </w:p>
    <w:p w:rsidR="00B4265E" w:rsidRDefault="00B4265E">
      <w:pPr>
        <w:widowControl w:val="0"/>
        <w:spacing w:line="204" w:lineRule="auto"/>
        <w:rPr>
          <w:b/>
          <w:sz w:val="24"/>
          <w:szCs w:val="24"/>
        </w:rPr>
      </w:pPr>
    </w:p>
    <w:p w:rsidR="00C56567" w:rsidRDefault="00C56567">
      <w:pPr>
        <w:rPr>
          <w:rFonts w:cs="Arial"/>
        </w:rPr>
      </w:pPr>
    </w:p>
    <w:p w:rsidR="00C56567" w:rsidRDefault="00C56567">
      <w:pPr>
        <w:pStyle w:val="Heading2"/>
        <w:pageBreakBefore/>
        <w:rPr>
          <w:rFonts w:ascii="Calibri" w:hAnsi="Calibri"/>
          <w:i w:val="0"/>
        </w:rPr>
        <w:sectPr w:rsidR="00C56567">
          <w:pgSz w:w="12240" w:h="15840" w:code="1"/>
          <w:pgMar w:top="1440" w:right="1440" w:bottom="1440" w:left="1440" w:header="720" w:footer="720" w:gutter="0"/>
          <w:cols w:space="720"/>
          <w:docGrid w:linePitch="360"/>
        </w:sectPr>
      </w:pPr>
    </w:p>
    <w:bookmarkEnd w:id="2"/>
    <w:p w:rsidR="00C56567" w:rsidRDefault="00B931E6" w:rsidP="00A76527">
      <w:pPr>
        <w:pStyle w:val="Heading2"/>
        <w:pageBreakBefore/>
        <w:widowControl w:val="0"/>
        <w:spacing w:before="0" w:after="0" w:line="240" w:lineRule="auto"/>
        <w:rPr>
          <w:rFonts w:ascii="Calibri" w:hAnsi="Calibri"/>
          <w:i w:val="0"/>
        </w:rPr>
      </w:pPr>
      <w:r>
        <w:rPr>
          <w:rFonts w:ascii="Calibri" w:hAnsi="Calibri"/>
          <w:i w:val="0"/>
        </w:rPr>
        <w:t>CR-25 - Homeless and Other Special Needs 91.220(d, e); 91.320(d, e); 91.520(c)</w:t>
      </w:r>
    </w:p>
    <w:p w:rsidR="00C56567" w:rsidRDefault="00B931E6" w:rsidP="00A76527">
      <w:pPr>
        <w:keepNext/>
        <w:widowControl w:val="0"/>
        <w:spacing w:after="0" w:line="240" w:lineRule="auto"/>
        <w:rPr>
          <w:b/>
          <w:sz w:val="24"/>
          <w:szCs w:val="24"/>
        </w:rPr>
      </w:pPr>
      <w:r>
        <w:rPr>
          <w:b/>
          <w:sz w:val="24"/>
          <w:szCs w:val="24"/>
        </w:rPr>
        <w:t>Evaluate the jurisdiction’s progress in meeting its specific objectives for reducing and ending homelessness through:</w:t>
      </w:r>
    </w:p>
    <w:p w:rsidR="00A76527" w:rsidRDefault="00A76527" w:rsidP="00A76527">
      <w:pPr>
        <w:keepNext/>
        <w:widowControl w:val="0"/>
        <w:spacing w:after="0" w:line="240" w:lineRule="auto"/>
        <w:rPr>
          <w:b/>
          <w:sz w:val="24"/>
          <w:szCs w:val="24"/>
        </w:rPr>
      </w:pPr>
    </w:p>
    <w:p w:rsidR="00C56567" w:rsidRDefault="00B931E6" w:rsidP="00A76527">
      <w:pPr>
        <w:widowControl w:val="0"/>
        <w:spacing w:after="0" w:line="240" w:lineRule="auto"/>
        <w:rPr>
          <w:b/>
          <w:sz w:val="24"/>
          <w:szCs w:val="24"/>
        </w:rPr>
      </w:pPr>
      <w:r>
        <w:rPr>
          <w:b/>
          <w:sz w:val="24"/>
          <w:szCs w:val="24"/>
        </w:rPr>
        <w:t>Reaching out to homeless persons (especially unsheltered persons) and assessing their individual needs</w:t>
      </w:r>
    </w:p>
    <w:p w:rsidR="00A76527" w:rsidRDefault="00A76527" w:rsidP="00A76527">
      <w:pPr>
        <w:widowControl w:val="0"/>
        <w:spacing w:after="0" w:line="240" w:lineRule="auto"/>
        <w:rPr>
          <w:b/>
          <w:sz w:val="24"/>
          <w:szCs w:val="24"/>
        </w:rPr>
      </w:pPr>
    </w:p>
    <w:p w:rsidR="00F357D7" w:rsidRDefault="00F357D7" w:rsidP="00A76527">
      <w:pPr>
        <w:widowControl w:val="0"/>
        <w:spacing w:after="0" w:line="240" w:lineRule="auto"/>
        <w:rPr>
          <w:rFonts w:cs="Arial"/>
        </w:rPr>
      </w:pPr>
      <w:r>
        <w:rPr>
          <w:rFonts w:cs="Arial"/>
        </w:rPr>
        <w:t>The Basic Needs Coalition conducts point in time counts and coordinates project homeless connect.  The point in time counts allows participant agencies to assess the level of homelessness needs in the community, as well as provide referral services and resources to homeless persons.  Project homeless connect provides a multitude of services and referrals for homeless populations in Columbia.  The City’s 2016 Winter Point in Time C</w:t>
      </w:r>
      <w:r w:rsidR="00D20157">
        <w:rPr>
          <w:rFonts w:cs="Arial"/>
        </w:rPr>
        <w:t>ount resulted in identifying 220</w:t>
      </w:r>
      <w:r>
        <w:rPr>
          <w:rFonts w:cs="Arial"/>
        </w:rPr>
        <w:t xml:space="preserve"> </w:t>
      </w:r>
      <w:r w:rsidR="00D86D0F">
        <w:rPr>
          <w:rFonts w:cs="Arial"/>
        </w:rPr>
        <w:t>sheltered/unsheltered individuals</w:t>
      </w:r>
      <w:r>
        <w:rPr>
          <w:rFonts w:cs="Arial"/>
        </w:rPr>
        <w:t xml:space="preserve"> experiencing homelessness in Boone County.</w:t>
      </w:r>
    </w:p>
    <w:p w:rsidR="00F357D7" w:rsidRDefault="00F357D7" w:rsidP="00A76527">
      <w:pPr>
        <w:widowControl w:val="0"/>
        <w:spacing w:after="0" w:line="240" w:lineRule="auto"/>
        <w:rPr>
          <w:b/>
          <w:sz w:val="24"/>
          <w:szCs w:val="24"/>
        </w:rPr>
      </w:pPr>
    </w:p>
    <w:p w:rsidR="00C56567" w:rsidRDefault="00B931E6" w:rsidP="00A76527">
      <w:pPr>
        <w:widowControl w:val="0"/>
        <w:spacing w:after="0" w:line="240" w:lineRule="auto"/>
        <w:rPr>
          <w:b/>
          <w:sz w:val="24"/>
          <w:szCs w:val="24"/>
        </w:rPr>
      </w:pPr>
      <w:r>
        <w:rPr>
          <w:b/>
          <w:sz w:val="24"/>
          <w:szCs w:val="24"/>
        </w:rPr>
        <w:t>Addressing the emergency shelter and transitional housing needs of homeless persons</w:t>
      </w:r>
    </w:p>
    <w:p w:rsidR="00A76527" w:rsidRDefault="00A76527" w:rsidP="00A76527">
      <w:pPr>
        <w:widowControl w:val="0"/>
        <w:spacing w:after="0" w:line="240" w:lineRule="auto"/>
        <w:rPr>
          <w:b/>
          <w:sz w:val="24"/>
          <w:szCs w:val="24"/>
        </w:rPr>
      </w:pPr>
    </w:p>
    <w:p w:rsidR="009A0B91" w:rsidRDefault="009A0B91" w:rsidP="00A76527">
      <w:pPr>
        <w:widowControl w:val="0"/>
        <w:spacing w:after="0" w:line="240" w:lineRule="auto"/>
        <w:rPr>
          <w:rFonts w:cs="Arial"/>
        </w:rPr>
      </w:pPr>
      <w:r>
        <w:rPr>
          <w:rFonts w:cs="Arial"/>
        </w:rPr>
        <w:t xml:space="preserve">The City of Columbia committed additional support to Welcome Home and the Columbia Housing Authority's </w:t>
      </w:r>
      <w:r w:rsidR="00E76B4C">
        <w:rPr>
          <w:rFonts w:cs="Arial"/>
        </w:rPr>
        <w:t xml:space="preserve">(CHA) </w:t>
      </w:r>
      <w:r>
        <w:rPr>
          <w:rFonts w:cs="Arial"/>
        </w:rPr>
        <w:t>effort to provide emergency shelter and transitional housing needs for homeless veterans.  The City committed $500,000 in City general revenue to this project, along with $248,000 in CDBG funds.  All of the CDBG funds were expended in 2016, while $234,306 of city funds were expended for the p</w:t>
      </w:r>
      <w:r w:rsidR="00E76B4C">
        <w:rPr>
          <w:rFonts w:cs="Arial"/>
        </w:rPr>
        <w:t>roject in 2016.  Welcom Home renovations are</w:t>
      </w:r>
      <w:r>
        <w:rPr>
          <w:rFonts w:cs="Arial"/>
        </w:rPr>
        <w:t xml:space="preserve"> expected to be complete by August 2017.  The City also allocated $43,000 in 2016 to the Wilkes Blvd United Methodist church for renovations to its facility for homeless day center services.  Renovations started in early 2017 with additional CDBG funds to be expended in 2017.</w:t>
      </w:r>
    </w:p>
    <w:p w:rsidR="009A0B91" w:rsidRDefault="009A0B91" w:rsidP="00A76527">
      <w:pPr>
        <w:widowControl w:val="0"/>
        <w:spacing w:after="0" w:line="240" w:lineRule="auto"/>
        <w:rPr>
          <w:b/>
          <w:sz w:val="24"/>
          <w:szCs w:val="24"/>
        </w:rPr>
      </w:pPr>
    </w:p>
    <w:p w:rsidR="00C56567" w:rsidRDefault="00B931E6" w:rsidP="00A76527">
      <w:pPr>
        <w:widowControl w:val="0"/>
        <w:spacing w:after="0" w:line="240" w:lineRule="auto"/>
        <w:rPr>
          <w:b/>
          <w:sz w:val="24"/>
          <w:szCs w:val="24"/>
        </w:rPr>
      </w:pPr>
      <w:r>
        <w:rPr>
          <w:b/>
          <w:sz w:val="24"/>
          <w:szCs w:val="24"/>
        </w:rPr>
        <w:t>Helping low-income individuals and families avoid becoming homeless, especially extremely low-income individuals and families and those who are:  likely to become homeless after being discharged from publicly funded institutions and systems of care (such as health care facilities, mental health facilities, foster care and other youth facilities, and corrections programs and institutions);  and,  receiving assistance from public or private agencies that address housing, health, social services, employment, education, or youth needs</w:t>
      </w:r>
    </w:p>
    <w:p w:rsidR="00A76527" w:rsidRDefault="00A76527" w:rsidP="00A76527">
      <w:pPr>
        <w:widowControl w:val="0"/>
        <w:spacing w:after="0" w:line="240" w:lineRule="auto"/>
        <w:rPr>
          <w:b/>
          <w:sz w:val="24"/>
          <w:szCs w:val="24"/>
        </w:rPr>
      </w:pPr>
    </w:p>
    <w:p w:rsidR="00CF1A47" w:rsidRDefault="00CF1A47" w:rsidP="00A76527">
      <w:pPr>
        <w:widowControl w:val="0"/>
        <w:spacing w:after="0" w:line="240" w:lineRule="auto"/>
        <w:rPr>
          <w:rFonts w:cs="Arial"/>
        </w:rPr>
      </w:pPr>
      <w:r>
        <w:rPr>
          <w:rFonts w:cs="Arial"/>
        </w:rPr>
        <w:t xml:space="preserve">The City's Division of Human Services works to address the causes and effect of poverty by purchasing, coordinating and providing social services in our community, including: medication assistance, utility assistance, dental pain relief, pregnancy testing, pregnancy support, health insurance/coverage, health families home visiting program.  </w:t>
      </w:r>
    </w:p>
    <w:p w:rsidR="00CF1A47" w:rsidRDefault="00CF1A47" w:rsidP="00A76527">
      <w:pPr>
        <w:widowControl w:val="0"/>
        <w:spacing w:after="0" w:line="240" w:lineRule="auto"/>
        <w:rPr>
          <w:rFonts w:cs="Arial"/>
        </w:rPr>
      </w:pPr>
    </w:p>
    <w:p w:rsidR="00CF1A47" w:rsidRDefault="00CF1A47" w:rsidP="00A76527">
      <w:pPr>
        <w:widowControl w:val="0"/>
        <w:spacing w:after="0" w:line="240" w:lineRule="auto"/>
        <w:rPr>
          <w:rFonts w:cs="Arial"/>
        </w:rPr>
      </w:pPr>
      <w:r>
        <w:rPr>
          <w:rFonts w:cs="Arial"/>
        </w:rPr>
        <w:t>Each year, the Division of Human services enters into purchase of service contracts with community-based organizations to assist in delivering essential social services to low-income populations.  The Division of Human Services administers close to $900,000 in local general revenue to assist social service providers serving these populations.</w:t>
      </w:r>
    </w:p>
    <w:p w:rsidR="009A0B91" w:rsidRDefault="009A0B91" w:rsidP="00A76527">
      <w:pPr>
        <w:widowControl w:val="0"/>
        <w:spacing w:after="0" w:line="240" w:lineRule="auto"/>
        <w:rPr>
          <w:b/>
          <w:sz w:val="24"/>
          <w:szCs w:val="24"/>
        </w:rPr>
      </w:pPr>
    </w:p>
    <w:p w:rsidR="00A76527" w:rsidRDefault="00A76527" w:rsidP="00A76527">
      <w:pPr>
        <w:widowControl w:val="0"/>
        <w:spacing w:after="0" w:line="240" w:lineRule="auto"/>
        <w:rPr>
          <w:b/>
          <w:sz w:val="24"/>
          <w:szCs w:val="24"/>
        </w:rPr>
      </w:pPr>
    </w:p>
    <w:p w:rsidR="00C56567" w:rsidRDefault="00B931E6" w:rsidP="00A76527">
      <w:pPr>
        <w:widowControl w:val="0"/>
        <w:spacing w:after="0" w:line="240" w:lineRule="auto"/>
        <w:rPr>
          <w:b/>
          <w:sz w:val="24"/>
          <w:szCs w:val="24"/>
        </w:rPr>
      </w:pPr>
      <w:r>
        <w:rPr>
          <w:b/>
          <w:sz w:val="24"/>
          <w:szCs w:val="24"/>
        </w:rPr>
        <w:t>Helping homeless persons (especially chronically homeless individuals and families, families with children, veterans and their families, and unaccompanied youth) make the transition to permanent housing and independent living, including shortening the period of time that individuals and families experience homelessness, facilitating access for homeless individuals and families to affordable housing units, and preventing individuals and families who were recently homeless from becoming homeless again</w:t>
      </w:r>
    </w:p>
    <w:p w:rsidR="00A76527" w:rsidRDefault="00A76527" w:rsidP="00A76527">
      <w:pPr>
        <w:widowControl w:val="0"/>
        <w:spacing w:after="0" w:line="240" w:lineRule="auto"/>
        <w:rPr>
          <w:b/>
          <w:sz w:val="24"/>
          <w:szCs w:val="24"/>
        </w:rPr>
      </w:pPr>
    </w:p>
    <w:p w:rsidR="00413457" w:rsidRDefault="00413457" w:rsidP="00A76527">
      <w:pPr>
        <w:widowControl w:val="0"/>
        <w:spacing w:after="0" w:line="240" w:lineRule="auto"/>
        <w:rPr>
          <w:rFonts w:cs="Arial"/>
        </w:rPr>
      </w:pPr>
      <w:r>
        <w:rPr>
          <w:rFonts w:cs="Arial"/>
        </w:rPr>
        <w:t>The City contributed to helping homeless persons make the transition to permanent housing and independent living by providing funds for facilities operated by agencies that serve these populations and by expanding affordable housing options to these populations.  Welcome Home provides emergency housing for homeless veterans.  CDBG funding to this project will help expand emergency shelter funding for homeless veterans.  CHA is also partnering with Welcome Home along with the VA to ensure veterans have additional transitional housing and supportive services.</w:t>
      </w:r>
    </w:p>
    <w:p w:rsidR="00C56567" w:rsidRDefault="00C56567" w:rsidP="00A76527">
      <w:pPr>
        <w:widowControl w:val="0"/>
        <w:spacing w:after="0" w:line="240" w:lineRule="auto"/>
        <w:rPr>
          <w:rFonts w:cs="Arial"/>
          <w:szCs w:val="26"/>
        </w:rPr>
      </w:pPr>
    </w:p>
    <w:p w:rsidR="00C56567" w:rsidRDefault="00B931E6" w:rsidP="00A76527">
      <w:pPr>
        <w:pStyle w:val="Heading2"/>
        <w:pageBreakBefore/>
        <w:widowControl w:val="0"/>
        <w:spacing w:before="0" w:after="0" w:line="240" w:lineRule="auto"/>
        <w:rPr>
          <w:rFonts w:ascii="Calibri" w:hAnsi="Calibri"/>
          <w:i w:val="0"/>
        </w:rPr>
      </w:pPr>
      <w:r>
        <w:rPr>
          <w:rFonts w:ascii="Calibri" w:hAnsi="Calibri"/>
          <w:i w:val="0"/>
        </w:rPr>
        <w:t>CR-30 - Public Housing 91.220(h); 91.320(j)</w:t>
      </w:r>
    </w:p>
    <w:p w:rsidR="00C56567" w:rsidRDefault="00B931E6" w:rsidP="00A76527">
      <w:pPr>
        <w:keepNext/>
        <w:widowControl w:val="0"/>
        <w:spacing w:after="0" w:line="240" w:lineRule="auto"/>
        <w:rPr>
          <w:b/>
          <w:sz w:val="24"/>
          <w:szCs w:val="24"/>
        </w:rPr>
      </w:pPr>
      <w:r>
        <w:rPr>
          <w:b/>
          <w:sz w:val="24"/>
          <w:szCs w:val="24"/>
        </w:rPr>
        <w:t>Actions taken to address the needs of public housing</w:t>
      </w:r>
    </w:p>
    <w:p w:rsidR="00A76527" w:rsidRDefault="00A76527" w:rsidP="00A76527">
      <w:pPr>
        <w:keepNext/>
        <w:widowControl w:val="0"/>
        <w:spacing w:after="0" w:line="240" w:lineRule="auto"/>
        <w:rPr>
          <w:b/>
          <w:sz w:val="24"/>
          <w:szCs w:val="24"/>
        </w:rPr>
      </w:pPr>
    </w:p>
    <w:p w:rsidR="00F357D7" w:rsidRDefault="00F357D7" w:rsidP="00A76527">
      <w:pPr>
        <w:spacing w:after="0" w:line="240" w:lineRule="auto"/>
        <w:jc w:val="both"/>
        <w:rPr>
          <w:rFonts w:eastAsia="Times New Roman"/>
          <w:szCs w:val="24"/>
        </w:rPr>
      </w:pPr>
      <w:r w:rsidRPr="00F357D7">
        <w:rPr>
          <w:rFonts w:eastAsia="Times New Roman"/>
          <w:szCs w:val="24"/>
        </w:rPr>
        <w:t>The Columbia Housing Authority is the first housing authority in the state of Missouri to be accepted into the HUD Rental Assistance Demonstration (RAD) Program.  By the end of 2017 the Columbia Housing Authority will have renovated 507 public housing units.  The Columbia Housing Authority plans to renovate the last 120 public housing unit</w:t>
      </w:r>
      <w:r w:rsidR="00E76B4C">
        <w:rPr>
          <w:rFonts w:eastAsia="Times New Roman"/>
          <w:szCs w:val="24"/>
        </w:rPr>
        <w:t>s</w:t>
      </w:r>
      <w:r w:rsidRPr="00F357D7">
        <w:rPr>
          <w:rFonts w:eastAsia="Times New Roman"/>
          <w:szCs w:val="24"/>
        </w:rPr>
        <w:t xml:space="preserve"> in the next four years.</w:t>
      </w:r>
    </w:p>
    <w:p w:rsidR="00A76527" w:rsidRPr="00F357D7" w:rsidRDefault="00A76527" w:rsidP="00A76527">
      <w:pPr>
        <w:spacing w:after="0" w:line="240" w:lineRule="auto"/>
        <w:jc w:val="both"/>
        <w:rPr>
          <w:rFonts w:eastAsia="Times New Roman"/>
          <w:szCs w:val="24"/>
        </w:rPr>
      </w:pPr>
    </w:p>
    <w:p w:rsidR="00C56567" w:rsidRDefault="00B931E6" w:rsidP="00A76527">
      <w:pPr>
        <w:widowControl w:val="0"/>
        <w:spacing w:after="0" w:line="240" w:lineRule="auto"/>
        <w:rPr>
          <w:b/>
          <w:sz w:val="24"/>
          <w:szCs w:val="24"/>
        </w:rPr>
      </w:pPr>
      <w:r>
        <w:rPr>
          <w:b/>
          <w:sz w:val="24"/>
          <w:szCs w:val="24"/>
        </w:rPr>
        <w:t>Actions taken to encourage public housing residents to become more involved in management and participate in homeownership</w:t>
      </w:r>
    </w:p>
    <w:p w:rsidR="00A76527" w:rsidRDefault="00A76527" w:rsidP="00A76527">
      <w:pPr>
        <w:widowControl w:val="0"/>
        <w:spacing w:after="0" w:line="240" w:lineRule="auto"/>
        <w:rPr>
          <w:b/>
          <w:sz w:val="24"/>
          <w:szCs w:val="24"/>
        </w:rPr>
      </w:pPr>
    </w:p>
    <w:p w:rsidR="00F357D7" w:rsidRDefault="00F357D7" w:rsidP="00A76527">
      <w:pPr>
        <w:spacing w:after="0" w:line="240" w:lineRule="auto"/>
        <w:jc w:val="both"/>
        <w:rPr>
          <w:rFonts w:eastAsia="Times New Roman"/>
          <w:bCs/>
          <w:szCs w:val="24"/>
        </w:rPr>
      </w:pPr>
      <w:r w:rsidRPr="00F357D7">
        <w:rPr>
          <w:rFonts w:eastAsia="Times New Roman"/>
          <w:bCs/>
          <w:szCs w:val="24"/>
        </w:rPr>
        <w:t xml:space="preserve">The Columbia Housing Authority has two Family Self-Sufficiency Coordinators, three Resident Services Coordinators, and two Healthy Homes Connections Family Specialists.  All of these staff are able to refer public housing residents or Section 8 Housing Choice Voucher Program participants to our Section 8 Homeownership program.  We offer the 10-week FDIC Money Smart program free of charge </w:t>
      </w:r>
      <w:r w:rsidR="00E76B4C">
        <w:rPr>
          <w:rFonts w:eastAsia="Times New Roman"/>
          <w:bCs/>
          <w:szCs w:val="24"/>
        </w:rPr>
        <w:t>4</w:t>
      </w:r>
      <w:r w:rsidRPr="00F357D7">
        <w:rPr>
          <w:rFonts w:eastAsia="Times New Roman"/>
          <w:bCs/>
          <w:szCs w:val="24"/>
        </w:rPr>
        <w:t xml:space="preserve"> times year.  Money Smart is a comprehensive financial education program designed to help participants clean up their credit scores, improve their money management skills, and understand the process for purchasing a home.</w:t>
      </w:r>
    </w:p>
    <w:p w:rsidR="00A76527" w:rsidRPr="00F357D7" w:rsidRDefault="00A76527" w:rsidP="00A76527">
      <w:pPr>
        <w:spacing w:after="0" w:line="240" w:lineRule="auto"/>
        <w:jc w:val="both"/>
        <w:rPr>
          <w:rFonts w:eastAsia="Times New Roman"/>
          <w:bCs/>
          <w:szCs w:val="24"/>
        </w:rPr>
      </w:pPr>
    </w:p>
    <w:p w:rsidR="00F357D7" w:rsidRDefault="00F357D7" w:rsidP="00A76527">
      <w:pPr>
        <w:spacing w:after="0" w:line="240" w:lineRule="auto"/>
        <w:jc w:val="both"/>
        <w:rPr>
          <w:rFonts w:eastAsia="Times New Roman"/>
          <w:bCs/>
          <w:szCs w:val="24"/>
        </w:rPr>
      </w:pPr>
      <w:r w:rsidRPr="00F357D7">
        <w:rPr>
          <w:rFonts w:eastAsia="Times New Roman"/>
          <w:bCs/>
          <w:szCs w:val="24"/>
        </w:rPr>
        <w:t>All public housing residents are encouraged to participate in their respective Resident Associations as well as the Resident Advisory Board.</w:t>
      </w:r>
    </w:p>
    <w:p w:rsidR="00A76527" w:rsidRPr="00F357D7" w:rsidRDefault="00A76527" w:rsidP="00A76527">
      <w:pPr>
        <w:spacing w:after="0" w:line="240" w:lineRule="auto"/>
        <w:jc w:val="both"/>
        <w:rPr>
          <w:rFonts w:eastAsia="Times New Roman"/>
          <w:bCs/>
          <w:szCs w:val="24"/>
        </w:rPr>
      </w:pPr>
    </w:p>
    <w:p w:rsidR="00F357D7" w:rsidRDefault="00F357D7" w:rsidP="00A76527">
      <w:pPr>
        <w:spacing w:after="0" w:line="240" w:lineRule="auto"/>
        <w:jc w:val="both"/>
        <w:rPr>
          <w:rFonts w:eastAsia="Times New Roman"/>
          <w:bCs/>
          <w:szCs w:val="24"/>
        </w:rPr>
      </w:pPr>
      <w:r w:rsidRPr="00F357D7">
        <w:rPr>
          <w:rFonts w:eastAsia="Times New Roman"/>
          <w:bCs/>
          <w:szCs w:val="24"/>
        </w:rPr>
        <w:t>All Columbia Housing Authority Board of Commissioners meeting are open to the public and publicized at our housing sites as well as on our web site.  Meeting agenda packets are available at all our housing sites as well as on our web site.</w:t>
      </w:r>
    </w:p>
    <w:p w:rsidR="00A76527" w:rsidRPr="00F357D7" w:rsidRDefault="00A76527" w:rsidP="00A76527">
      <w:pPr>
        <w:spacing w:after="0" w:line="240" w:lineRule="auto"/>
        <w:jc w:val="both"/>
        <w:rPr>
          <w:rFonts w:eastAsia="Times New Roman"/>
          <w:b/>
          <w:szCs w:val="24"/>
        </w:rPr>
      </w:pPr>
    </w:p>
    <w:p w:rsidR="00C56567" w:rsidRDefault="00B931E6" w:rsidP="00A76527">
      <w:pPr>
        <w:widowControl w:val="0"/>
        <w:spacing w:after="0" w:line="240" w:lineRule="auto"/>
        <w:rPr>
          <w:b/>
          <w:sz w:val="24"/>
          <w:szCs w:val="24"/>
        </w:rPr>
      </w:pPr>
      <w:r>
        <w:rPr>
          <w:b/>
          <w:sz w:val="24"/>
          <w:szCs w:val="24"/>
        </w:rPr>
        <w:t>Actions taken to provide assistance to troubled PHAs</w:t>
      </w:r>
    </w:p>
    <w:p w:rsidR="00A76527" w:rsidRDefault="00A76527" w:rsidP="00A76527">
      <w:pPr>
        <w:spacing w:after="0" w:line="240" w:lineRule="auto"/>
        <w:jc w:val="both"/>
        <w:rPr>
          <w:rFonts w:eastAsia="Times New Roman"/>
          <w:szCs w:val="24"/>
        </w:rPr>
      </w:pPr>
    </w:p>
    <w:p w:rsidR="00F357D7" w:rsidRPr="00F357D7" w:rsidRDefault="00F357D7" w:rsidP="00A76527">
      <w:pPr>
        <w:spacing w:after="0" w:line="240" w:lineRule="auto"/>
        <w:jc w:val="both"/>
        <w:rPr>
          <w:rFonts w:eastAsia="Times New Roman"/>
          <w:szCs w:val="24"/>
        </w:rPr>
      </w:pPr>
      <w:r w:rsidRPr="00F357D7">
        <w:rPr>
          <w:rFonts w:eastAsia="Times New Roman"/>
          <w:szCs w:val="24"/>
        </w:rPr>
        <w:t>The Columbia Housing Authority has not been engaged in assisting troubled PHAs.</w:t>
      </w:r>
    </w:p>
    <w:p w:rsidR="00F357D7" w:rsidRDefault="00F357D7">
      <w:pPr>
        <w:widowControl w:val="0"/>
        <w:rPr>
          <w:b/>
          <w:sz w:val="24"/>
          <w:szCs w:val="24"/>
        </w:rPr>
      </w:pPr>
    </w:p>
    <w:p w:rsidR="00C56567" w:rsidRDefault="00B931E6" w:rsidP="00A76527">
      <w:pPr>
        <w:pStyle w:val="Heading2"/>
        <w:pageBreakBefore/>
        <w:widowControl w:val="0"/>
        <w:spacing w:before="0" w:after="0" w:line="240" w:lineRule="auto"/>
        <w:rPr>
          <w:rFonts w:ascii="Calibri" w:hAnsi="Calibri"/>
          <w:i w:val="0"/>
        </w:rPr>
      </w:pPr>
      <w:r>
        <w:rPr>
          <w:rFonts w:ascii="Calibri" w:hAnsi="Calibri"/>
          <w:i w:val="0"/>
        </w:rPr>
        <w:t>CR-35 - Other Actions 91.220(j)-(k); 91.320(i)-(j)</w:t>
      </w:r>
    </w:p>
    <w:p w:rsidR="00C56567" w:rsidRDefault="00B931E6" w:rsidP="00A76527">
      <w:pPr>
        <w:widowControl w:val="0"/>
        <w:spacing w:after="0" w:line="240" w:lineRule="auto"/>
        <w:rPr>
          <w:b/>
          <w:sz w:val="24"/>
          <w:szCs w:val="24"/>
        </w:rPr>
      </w:pPr>
      <w:r>
        <w:rPr>
          <w:b/>
          <w:sz w:val="24"/>
          <w:szCs w:val="24"/>
        </w:rPr>
        <w:t>Actions taken to remove or ameliorate the negative effects of public policies that serve as barriers to affordable housing such as land use controls, tax policies affecting land, zoning ordinances, building codes, fees and charges, growth limitations, and policies affecting the return on residential investment. 91.220 (j); 91.320 (i)</w:t>
      </w:r>
    </w:p>
    <w:p w:rsidR="00A76527" w:rsidRDefault="00A76527" w:rsidP="00A76527">
      <w:pPr>
        <w:widowControl w:val="0"/>
        <w:spacing w:after="0" w:line="240" w:lineRule="auto"/>
        <w:rPr>
          <w:b/>
          <w:sz w:val="24"/>
          <w:szCs w:val="24"/>
        </w:rPr>
      </w:pPr>
    </w:p>
    <w:p w:rsidR="004609AB" w:rsidRDefault="004609AB" w:rsidP="00A76527">
      <w:pPr>
        <w:widowControl w:val="0"/>
        <w:spacing w:after="0" w:line="240" w:lineRule="auto"/>
        <w:rPr>
          <w:rFonts w:cs="Arial"/>
        </w:rPr>
      </w:pPr>
      <w:r>
        <w:rPr>
          <w:rFonts w:cs="Arial"/>
        </w:rPr>
        <w:t xml:space="preserve">The City is in the process of writing and adopting a new Unified Development Code of Ordinances to improve local public policies for land use, zoning, building codes, growth limitations and other policies.  The City made significant progress in 2016 and plans to have a new UDO adopted by April of 2017.  The City Council is currently conducting a robust public hearing process to ensure a final product that is reflective of the City and its key stakeholders.  City CDBG staff have been working closely with City planners to identify policies that could reduce barriers to affordable housing.  </w:t>
      </w:r>
    </w:p>
    <w:p w:rsidR="004609AB" w:rsidRDefault="004609AB" w:rsidP="00A76527">
      <w:pPr>
        <w:widowControl w:val="0"/>
        <w:spacing w:after="0" w:line="240" w:lineRule="auto"/>
        <w:rPr>
          <w:b/>
          <w:sz w:val="24"/>
          <w:szCs w:val="24"/>
        </w:rPr>
      </w:pPr>
    </w:p>
    <w:p w:rsidR="00C56567" w:rsidRDefault="00B931E6" w:rsidP="00A76527">
      <w:pPr>
        <w:widowControl w:val="0"/>
        <w:spacing w:after="0" w:line="240" w:lineRule="auto"/>
        <w:rPr>
          <w:b/>
          <w:sz w:val="24"/>
          <w:szCs w:val="24"/>
        </w:rPr>
      </w:pPr>
      <w:r>
        <w:rPr>
          <w:b/>
          <w:sz w:val="24"/>
          <w:szCs w:val="24"/>
        </w:rPr>
        <w:t>Actions taken to address obstacles to meeting underserved needs.  91.220(k); 91.320(j)</w:t>
      </w:r>
    </w:p>
    <w:p w:rsidR="00A76527" w:rsidRDefault="00A76527" w:rsidP="00A76527">
      <w:pPr>
        <w:widowControl w:val="0"/>
        <w:spacing w:after="0" w:line="240" w:lineRule="auto"/>
        <w:rPr>
          <w:b/>
          <w:sz w:val="24"/>
          <w:szCs w:val="24"/>
        </w:rPr>
      </w:pPr>
    </w:p>
    <w:p w:rsidR="004609AB" w:rsidRDefault="004609AB" w:rsidP="00A76527">
      <w:pPr>
        <w:widowControl w:val="0"/>
        <w:spacing w:after="0" w:line="240" w:lineRule="auto"/>
        <w:rPr>
          <w:rFonts w:cs="Arial"/>
        </w:rPr>
      </w:pPr>
      <w:r>
        <w:rPr>
          <w:rFonts w:cs="Arial"/>
        </w:rPr>
        <w:t>The City allocated City general revenue to assist in expanding and improving the Wilkes Blvd United Methodist’s Turning Point program serving homeless persons with day center resources. A homeless drop-in center has been identified as a project to reduce risks to exposure and connect homeless persons with additional services.  Additional FY 2017</w:t>
      </w:r>
      <w:r w:rsidR="00E76B4C">
        <w:rPr>
          <w:rFonts w:cs="Arial"/>
        </w:rPr>
        <w:t xml:space="preserve"> funds</w:t>
      </w:r>
      <w:r>
        <w:rPr>
          <w:rFonts w:cs="Arial"/>
        </w:rPr>
        <w:t xml:space="preserve"> </w:t>
      </w:r>
      <w:r w:rsidR="00E76B4C">
        <w:rPr>
          <w:rFonts w:cs="Arial"/>
        </w:rPr>
        <w:t>have been budgeted</w:t>
      </w:r>
      <w:r>
        <w:rPr>
          <w:rFonts w:cs="Arial"/>
        </w:rPr>
        <w:t xml:space="preserve"> to further improve the facility.</w:t>
      </w:r>
    </w:p>
    <w:p w:rsidR="004609AB" w:rsidRDefault="004609AB" w:rsidP="00A76527">
      <w:pPr>
        <w:widowControl w:val="0"/>
        <w:spacing w:after="0" w:line="240" w:lineRule="auto"/>
        <w:rPr>
          <w:rFonts w:cs="Arial"/>
        </w:rPr>
      </w:pPr>
    </w:p>
    <w:p w:rsidR="004609AB" w:rsidRDefault="004609AB" w:rsidP="00A76527">
      <w:pPr>
        <w:widowControl w:val="0"/>
        <w:spacing w:after="0" w:line="240" w:lineRule="auto"/>
        <w:rPr>
          <w:rFonts w:cs="Arial"/>
        </w:rPr>
      </w:pPr>
      <w:r>
        <w:rPr>
          <w:rFonts w:cs="Arial"/>
        </w:rPr>
        <w:t>The City and County also allocated additional funding to Job Point in FY 2016 to fund job training activities for low-income persons exiting the prison system.  These efforts are in place to help with improved re-entry of ex-offenders into our community.</w:t>
      </w:r>
    </w:p>
    <w:p w:rsidR="004609AB" w:rsidRDefault="004609AB" w:rsidP="00A76527">
      <w:pPr>
        <w:widowControl w:val="0"/>
        <w:spacing w:after="0" w:line="240" w:lineRule="auto"/>
        <w:rPr>
          <w:b/>
          <w:sz w:val="24"/>
          <w:szCs w:val="24"/>
        </w:rPr>
      </w:pPr>
    </w:p>
    <w:p w:rsidR="00C56567" w:rsidRDefault="00B931E6" w:rsidP="00A76527">
      <w:pPr>
        <w:widowControl w:val="0"/>
        <w:spacing w:after="0" w:line="240" w:lineRule="auto"/>
        <w:rPr>
          <w:b/>
          <w:sz w:val="24"/>
          <w:szCs w:val="24"/>
        </w:rPr>
      </w:pPr>
      <w:r>
        <w:rPr>
          <w:b/>
          <w:sz w:val="24"/>
          <w:szCs w:val="24"/>
        </w:rPr>
        <w:t>Actions taken to reduce lead-based paint hazards. 91.220(k); 91.320(j)</w:t>
      </w:r>
    </w:p>
    <w:p w:rsidR="00A76527" w:rsidRDefault="00A76527" w:rsidP="00A76527">
      <w:pPr>
        <w:widowControl w:val="0"/>
        <w:spacing w:after="0" w:line="240" w:lineRule="auto"/>
        <w:rPr>
          <w:b/>
          <w:sz w:val="24"/>
          <w:szCs w:val="24"/>
        </w:rPr>
      </w:pPr>
    </w:p>
    <w:p w:rsidR="004609AB" w:rsidRDefault="004609AB" w:rsidP="00A76527">
      <w:pPr>
        <w:spacing w:after="0" w:line="240" w:lineRule="auto"/>
        <w:rPr>
          <w:rFonts w:asciiTheme="minorHAnsi" w:eastAsia="Times New Roman" w:hAnsiTheme="minorHAnsi"/>
        </w:rPr>
      </w:pPr>
      <w:r w:rsidRPr="005320B9">
        <w:rPr>
          <w:rFonts w:asciiTheme="minorHAnsi" w:eastAsia="Times New Roman" w:hAnsiTheme="minorHAnsi"/>
          <w:lang w:val="en-CA"/>
        </w:rPr>
        <w:fldChar w:fldCharType="begin"/>
      </w:r>
      <w:r w:rsidRPr="005320B9">
        <w:rPr>
          <w:rFonts w:asciiTheme="minorHAnsi" w:eastAsia="Times New Roman" w:hAnsiTheme="minorHAnsi"/>
          <w:lang w:val="en-CA"/>
        </w:rPr>
        <w:instrText xml:space="preserve"> SEQ CHAPTER \h \r 1</w:instrText>
      </w:r>
      <w:r w:rsidRPr="005320B9">
        <w:rPr>
          <w:rFonts w:asciiTheme="minorHAnsi" w:eastAsia="Times New Roman" w:hAnsiTheme="minorHAnsi"/>
          <w:lang w:val="en-CA"/>
        </w:rPr>
        <w:fldChar w:fldCharType="end"/>
      </w:r>
      <w:r w:rsidRPr="005320B9">
        <w:rPr>
          <w:rFonts w:asciiTheme="minorHAnsi" w:eastAsia="Times New Roman" w:hAnsiTheme="minorHAnsi"/>
        </w:rPr>
        <w:t>During 201</w:t>
      </w:r>
      <w:r>
        <w:rPr>
          <w:rFonts w:asciiTheme="minorHAnsi" w:eastAsia="Times New Roman" w:hAnsiTheme="minorHAnsi"/>
        </w:rPr>
        <w:t>6</w:t>
      </w:r>
      <w:r w:rsidRPr="005320B9">
        <w:rPr>
          <w:rFonts w:asciiTheme="minorHAnsi" w:eastAsia="Times New Roman" w:hAnsiTheme="minorHAnsi"/>
        </w:rPr>
        <w:t xml:space="preserve"> the City continued its compliance with lead-based paint hazard reduction m</w:t>
      </w:r>
      <w:r>
        <w:rPr>
          <w:rFonts w:asciiTheme="minorHAnsi" w:eastAsia="Times New Roman" w:hAnsiTheme="minorHAnsi"/>
        </w:rPr>
        <w:t>andates</w:t>
      </w:r>
      <w:r w:rsidRPr="005320B9">
        <w:rPr>
          <w:rFonts w:asciiTheme="minorHAnsi" w:eastAsia="Times New Roman" w:hAnsiTheme="minorHAnsi"/>
        </w:rPr>
        <w:t xml:space="preserve">.  The City continues to use Pharos Group for lead hazard evaluation activities, although administrative staff is also trained in lead paint procedures.  Rehabilitation procedures are designed to comply with HUD regulations for the reduction of lead-based paint hazards. These procedures apply to all housing built before January 1, 1978 which is assisted with CDBG or HOME funds, including homebuyer assistance and the owner-occupied housing rehabilitation program.  </w:t>
      </w:r>
    </w:p>
    <w:p w:rsidR="004609AB" w:rsidRPr="004609AB" w:rsidRDefault="004609AB" w:rsidP="00A76527">
      <w:pPr>
        <w:spacing w:after="0" w:line="240" w:lineRule="auto"/>
        <w:rPr>
          <w:rFonts w:asciiTheme="minorHAnsi" w:eastAsia="Times New Roman" w:hAnsiTheme="minorHAnsi"/>
        </w:rPr>
      </w:pPr>
    </w:p>
    <w:p w:rsidR="004609AB" w:rsidRPr="004609AB" w:rsidRDefault="004609AB" w:rsidP="00A76527">
      <w:pPr>
        <w:spacing w:after="0" w:line="240" w:lineRule="auto"/>
        <w:rPr>
          <w:rFonts w:asciiTheme="minorHAnsi" w:eastAsia="Times New Roman" w:hAnsiTheme="minorHAnsi"/>
          <w:sz w:val="23"/>
          <w:szCs w:val="23"/>
        </w:rPr>
      </w:pPr>
      <w:r w:rsidRPr="004609AB">
        <w:rPr>
          <w:rFonts w:asciiTheme="minorHAnsi" w:eastAsia="Times New Roman" w:hAnsiTheme="minorHAnsi"/>
        </w:rPr>
        <w:t>For homeownership programs, property is inspected by a licensed lead-based paint inspector employed by the City for evidence of deteriorated paint conditions; if deteriorated paint is found, a lead hazard evaluation is completed.  All lead hazard evaluations are performed by a State-licensed Risk Assessor and include testing of painted surfaces that are deteriorated or will be disturbed during repair work and taking appropriate dust wipe samples.  Hazard control procedures include abatement and interim controls, as is deemed appropriate for the situation, followed by work that is completed using safe work practices and required clean-up techniques.  Procedures also include relocation of households with small children and relocation of other households when interior hazard control activities occur</w:t>
      </w:r>
      <w:r w:rsidR="00E76B4C">
        <w:rPr>
          <w:rFonts w:asciiTheme="minorHAnsi" w:eastAsia="Times New Roman" w:hAnsiTheme="minorHAnsi"/>
        </w:rPr>
        <w:t xml:space="preserve"> and living outside containment</w:t>
      </w:r>
      <w:r w:rsidRPr="004609AB">
        <w:rPr>
          <w:rFonts w:asciiTheme="minorHAnsi" w:eastAsia="Times New Roman" w:hAnsiTheme="minorHAnsi"/>
        </w:rPr>
        <w:t xml:space="preserve"> areas is not possible.  The City is working with subrecipients conducting home repair programs to ensure compliance with lead</w:t>
      </w:r>
      <w:r w:rsidRPr="004609AB">
        <w:rPr>
          <w:rFonts w:asciiTheme="minorHAnsi" w:eastAsia="Times New Roman" w:hAnsiTheme="minorHAnsi"/>
          <w:sz w:val="23"/>
          <w:szCs w:val="23"/>
        </w:rPr>
        <w:t xml:space="preserve"> paint requirements.  </w:t>
      </w:r>
    </w:p>
    <w:p w:rsidR="004609AB" w:rsidRDefault="004609AB" w:rsidP="00A76527">
      <w:pPr>
        <w:widowControl w:val="0"/>
        <w:spacing w:after="0" w:line="240" w:lineRule="auto"/>
        <w:rPr>
          <w:b/>
          <w:sz w:val="24"/>
          <w:szCs w:val="24"/>
        </w:rPr>
      </w:pPr>
    </w:p>
    <w:p w:rsidR="00A76527" w:rsidRDefault="00A76527" w:rsidP="00A76527">
      <w:pPr>
        <w:widowControl w:val="0"/>
        <w:spacing w:after="0" w:line="240" w:lineRule="auto"/>
        <w:rPr>
          <w:b/>
          <w:sz w:val="24"/>
          <w:szCs w:val="24"/>
        </w:rPr>
      </w:pPr>
    </w:p>
    <w:p w:rsidR="00C56567" w:rsidRDefault="00B931E6" w:rsidP="00A76527">
      <w:pPr>
        <w:widowControl w:val="0"/>
        <w:spacing w:after="0" w:line="240" w:lineRule="auto"/>
        <w:rPr>
          <w:b/>
          <w:sz w:val="24"/>
          <w:szCs w:val="24"/>
        </w:rPr>
      </w:pPr>
      <w:r>
        <w:rPr>
          <w:b/>
          <w:sz w:val="24"/>
          <w:szCs w:val="24"/>
        </w:rPr>
        <w:t>Actions taken to reduce the number of poverty-level families. 91.220(k); 91.320(j)</w:t>
      </w:r>
    </w:p>
    <w:p w:rsidR="00A76527" w:rsidRDefault="00A76527" w:rsidP="00A76527">
      <w:pPr>
        <w:widowControl w:val="0"/>
        <w:spacing w:after="0" w:line="240" w:lineRule="auto"/>
        <w:rPr>
          <w:b/>
          <w:sz w:val="24"/>
          <w:szCs w:val="24"/>
        </w:rPr>
      </w:pPr>
    </w:p>
    <w:p w:rsidR="004609AB" w:rsidRDefault="004609AB" w:rsidP="00A76527">
      <w:pPr>
        <w:widowControl w:val="0"/>
        <w:spacing w:after="0" w:line="240" w:lineRule="auto"/>
        <w:rPr>
          <w:rFonts w:cs="Arial"/>
        </w:rPr>
      </w:pPr>
      <w:r>
        <w:rPr>
          <w:rFonts w:cs="Arial"/>
        </w:rPr>
        <w:t>Two primary activities in place to reduce the number of poverty level families is the funding of Job Point's Vocational Training program.  The goal of the training is to obtain employment or increased employment in areas of high demand, resulting in higher household incomes.  The City's Homeownership Assistance Program is also a mechanism for lower income working households to gain access to the benefits of homeo</w:t>
      </w:r>
      <w:r w:rsidR="00E76B4C">
        <w:rPr>
          <w:rFonts w:cs="Arial"/>
        </w:rPr>
        <w:t>wnership.  35 households in 2016</w:t>
      </w:r>
      <w:r>
        <w:rPr>
          <w:rFonts w:cs="Arial"/>
        </w:rPr>
        <w:t xml:space="preserve"> were served with this program and will now have the ability to build equity and wealth through homeownership.</w:t>
      </w:r>
    </w:p>
    <w:p w:rsidR="004609AB" w:rsidRDefault="004609AB" w:rsidP="00A76527">
      <w:pPr>
        <w:widowControl w:val="0"/>
        <w:spacing w:after="0" w:line="240" w:lineRule="auto"/>
        <w:rPr>
          <w:rFonts w:cs="Arial"/>
        </w:rPr>
      </w:pPr>
    </w:p>
    <w:p w:rsidR="004609AB" w:rsidRDefault="004609AB" w:rsidP="00A76527">
      <w:pPr>
        <w:widowControl w:val="0"/>
        <w:spacing w:after="0" w:line="240" w:lineRule="auto"/>
        <w:rPr>
          <w:rFonts w:cs="Arial"/>
        </w:rPr>
      </w:pPr>
      <w:r>
        <w:rPr>
          <w:rFonts w:cs="Arial"/>
        </w:rPr>
        <w:t>The City of Columbia has also adopted a City-wide strategic plan with social equity as its core mission.  The City has developed several cross-functional teams to improve so</w:t>
      </w:r>
      <w:r w:rsidR="00E76B4C">
        <w:rPr>
          <w:rFonts w:cs="Arial"/>
        </w:rPr>
        <w:t>cial equity in Columbia and the</w:t>
      </w:r>
      <w:r>
        <w:rPr>
          <w:rFonts w:cs="Arial"/>
        </w:rPr>
        <w:t xml:space="preserve"> key question the City is working to address is, How can we strengthen our community so all individuals thrive?  The City is working within </w:t>
      </w:r>
      <w:r w:rsidR="00E76B4C">
        <w:rPr>
          <w:rFonts w:cs="Arial"/>
        </w:rPr>
        <w:t>five</w:t>
      </w:r>
      <w:r>
        <w:rPr>
          <w:rFonts w:cs="Arial"/>
        </w:rPr>
        <w:t xml:space="preserve"> categories to address this question: social equity, public safety, infrastructure, economy and operation excellence.</w:t>
      </w:r>
    </w:p>
    <w:p w:rsidR="004609AB" w:rsidRDefault="004609AB" w:rsidP="00A76527">
      <w:pPr>
        <w:widowControl w:val="0"/>
        <w:spacing w:after="0" w:line="240" w:lineRule="auto"/>
        <w:rPr>
          <w:b/>
          <w:sz w:val="24"/>
          <w:szCs w:val="24"/>
        </w:rPr>
      </w:pPr>
    </w:p>
    <w:p w:rsidR="00C56567" w:rsidRDefault="00B931E6" w:rsidP="00A76527">
      <w:pPr>
        <w:widowControl w:val="0"/>
        <w:spacing w:after="0" w:line="240" w:lineRule="auto"/>
        <w:rPr>
          <w:b/>
          <w:sz w:val="24"/>
          <w:szCs w:val="24"/>
        </w:rPr>
      </w:pPr>
      <w:r>
        <w:rPr>
          <w:b/>
          <w:sz w:val="24"/>
          <w:szCs w:val="24"/>
        </w:rPr>
        <w:t>Actions taken to develop institutional structure. 91.220(k); 91.320(j)</w:t>
      </w:r>
    </w:p>
    <w:p w:rsidR="00A76527" w:rsidRDefault="00A76527" w:rsidP="00A76527">
      <w:pPr>
        <w:widowControl w:val="0"/>
        <w:spacing w:after="0" w:line="240" w:lineRule="auto"/>
        <w:rPr>
          <w:b/>
          <w:sz w:val="24"/>
          <w:szCs w:val="24"/>
        </w:rPr>
      </w:pPr>
    </w:p>
    <w:p w:rsidR="004609AB" w:rsidRPr="004609AB" w:rsidRDefault="004609AB" w:rsidP="00A76527">
      <w:pPr>
        <w:widowControl w:val="0"/>
        <w:spacing w:after="0" w:line="240" w:lineRule="auto"/>
        <w:rPr>
          <w:rFonts w:asciiTheme="minorHAnsi" w:hAnsiTheme="minorHAnsi" w:cs="Arial"/>
        </w:rPr>
      </w:pPr>
      <w:r>
        <w:rPr>
          <w:rFonts w:cs="Arial"/>
        </w:rPr>
        <w:t xml:space="preserve">The City increased its CDBG Administration funding from 16% to 18% in FY2015 in order help fund an additional housing specialist position.  The additional position and became fully operational in 2016.  This additional position has helped increase production in the homeownership program and minor </w:t>
      </w:r>
      <w:r w:rsidRPr="004609AB">
        <w:rPr>
          <w:rFonts w:asciiTheme="minorHAnsi" w:hAnsiTheme="minorHAnsi" w:cs="Arial"/>
        </w:rPr>
        <w:t>home repair programs, as well as allowed supervisory staff the flexibility to make progress on forming the Columbia Community Land Trust organization.</w:t>
      </w:r>
    </w:p>
    <w:p w:rsidR="00633A93" w:rsidRDefault="00633A93" w:rsidP="00A76527">
      <w:pPr>
        <w:pStyle w:val="NormalWeb"/>
        <w:spacing w:before="0" w:beforeAutospacing="0" w:after="0" w:afterAutospacing="0"/>
        <w:rPr>
          <w:rFonts w:asciiTheme="minorHAnsi" w:hAnsiTheme="minorHAnsi"/>
          <w:sz w:val="22"/>
          <w:szCs w:val="22"/>
        </w:rPr>
      </w:pPr>
    </w:p>
    <w:p w:rsidR="004609AB" w:rsidRPr="004609AB" w:rsidRDefault="004609AB" w:rsidP="00A76527">
      <w:pPr>
        <w:pStyle w:val="NormalWeb"/>
        <w:spacing w:before="0" w:beforeAutospacing="0" w:after="0" w:afterAutospacing="0"/>
        <w:rPr>
          <w:rFonts w:asciiTheme="minorHAnsi" w:hAnsiTheme="minorHAnsi"/>
          <w:sz w:val="22"/>
          <w:szCs w:val="22"/>
        </w:rPr>
      </w:pPr>
      <w:r w:rsidRPr="004609AB">
        <w:rPr>
          <w:rFonts w:asciiTheme="minorHAnsi" w:hAnsiTheme="minorHAnsi"/>
          <w:sz w:val="22"/>
          <w:szCs w:val="22"/>
        </w:rPr>
        <w:t>Columbia Community Land Trust (CCLT) is a nonprofit, community-based corporation established as a community land trust in Columbia</w:t>
      </w:r>
      <w:r w:rsidR="00E76B4C">
        <w:rPr>
          <w:rFonts w:asciiTheme="minorHAnsi" w:hAnsiTheme="minorHAnsi"/>
          <w:sz w:val="22"/>
          <w:szCs w:val="22"/>
        </w:rPr>
        <w:t>,</w:t>
      </w:r>
      <w:r w:rsidRPr="004609AB">
        <w:rPr>
          <w:rFonts w:asciiTheme="minorHAnsi" w:hAnsiTheme="minorHAnsi"/>
          <w:sz w:val="22"/>
          <w:szCs w:val="22"/>
        </w:rPr>
        <w:t xml:space="preserve"> Missouri to create and preserve a permanent supply of affordable homes for low-income households otherwise unable to afford homeownership. </w:t>
      </w:r>
    </w:p>
    <w:p w:rsidR="00633A93" w:rsidRDefault="00633A93" w:rsidP="00A76527">
      <w:pPr>
        <w:pStyle w:val="NormalWeb"/>
        <w:spacing w:before="0" w:beforeAutospacing="0" w:after="0" w:afterAutospacing="0"/>
        <w:rPr>
          <w:rFonts w:asciiTheme="minorHAnsi" w:hAnsiTheme="minorHAnsi"/>
          <w:sz w:val="22"/>
          <w:szCs w:val="22"/>
        </w:rPr>
      </w:pPr>
    </w:p>
    <w:p w:rsidR="004609AB" w:rsidRDefault="004609AB" w:rsidP="00A76527">
      <w:pPr>
        <w:pStyle w:val="NormalWeb"/>
        <w:spacing w:before="0" w:beforeAutospacing="0" w:after="0" w:afterAutospacing="0"/>
      </w:pPr>
      <w:r w:rsidRPr="004609AB">
        <w:rPr>
          <w:rFonts w:asciiTheme="minorHAnsi" w:hAnsiTheme="minorHAnsi"/>
          <w:sz w:val="22"/>
          <w:szCs w:val="22"/>
        </w:rPr>
        <w:t>The CCLT was incorporated on November 3, 2016 and held its first boa</w:t>
      </w:r>
      <w:r>
        <w:rPr>
          <w:rFonts w:asciiTheme="minorHAnsi" w:hAnsiTheme="minorHAnsi"/>
          <w:sz w:val="22"/>
          <w:szCs w:val="22"/>
        </w:rPr>
        <w:t xml:space="preserve">rd meeting on January 10, 2017, </w:t>
      </w:r>
      <w:r w:rsidRPr="004609AB">
        <w:rPr>
          <w:rFonts w:asciiTheme="minorHAnsi" w:hAnsiTheme="minorHAnsi"/>
          <w:sz w:val="22"/>
          <w:szCs w:val="22"/>
        </w:rPr>
        <w:t>app</w:t>
      </w:r>
      <w:r>
        <w:rPr>
          <w:rFonts w:asciiTheme="minorHAnsi" w:hAnsiTheme="minorHAnsi"/>
          <w:sz w:val="22"/>
          <w:szCs w:val="22"/>
        </w:rPr>
        <w:t>r</w:t>
      </w:r>
      <w:r w:rsidRPr="004609AB">
        <w:rPr>
          <w:rFonts w:asciiTheme="minorHAnsi" w:hAnsiTheme="minorHAnsi"/>
          <w:sz w:val="22"/>
          <w:szCs w:val="22"/>
        </w:rPr>
        <w:t>oving by-laws and establishing the CCLT as a new organization</w:t>
      </w:r>
      <w:r>
        <w:t>.</w:t>
      </w:r>
    </w:p>
    <w:p w:rsidR="00633A93" w:rsidRDefault="00633A93" w:rsidP="00A76527">
      <w:pPr>
        <w:pStyle w:val="NormalWeb"/>
        <w:spacing w:before="0" w:beforeAutospacing="0" w:after="0" w:afterAutospacing="0"/>
      </w:pPr>
    </w:p>
    <w:p w:rsidR="00633A93" w:rsidRPr="00633A93" w:rsidRDefault="004609AB" w:rsidP="00A76527">
      <w:pPr>
        <w:pStyle w:val="NormalWeb"/>
        <w:spacing w:before="0" w:beforeAutospacing="0" w:after="0" w:afterAutospacing="0"/>
        <w:rPr>
          <w:rFonts w:asciiTheme="minorHAnsi" w:hAnsiTheme="minorHAnsi"/>
          <w:sz w:val="22"/>
        </w:rPr>
      </w:pPr>
      <w:r w:rsidRPr="00633A93">
        <w:rPr>
          <w:rFonts w:asciiTheme="minorHAnsi" w:hAnsiTheme="minorHAnsi" w:cs="Arial"/>
          <w:sz w:val="22"/>
        </w:rPr>
        <w:t xml:space="preserve"> </w:t>
      </w:r>
      <w:r w:rsidR="00633A93" w:rsidRPr="00633A93">
        <w:rPr>
          <w:rFonts w:asciiTheme="minorHAnsi" w:hAnsiTheme="minorHAnsi"/>
          <w:sz w:val="22"/>
        </w:rPr>
        <w:t>Community Land Trust (CLT) Organizations are non-profit community based corporations with the purpose of creating and preserving permanently affordable housing.  CLTs provide homeownership opportunities to lower income households that otherwise would not be able to afford homeownership.  CLTs also maintain a long-term relationship with CLT properties and ensure they remain affordable and well maintained.  CLTs separate the ownership of the land from the improvements (physical structure) through the use of a 99-year ground lease.  The ownership of the land is retained by the CLT to ensure that the improvements are sold at an affordable price to an eligible and qualified buyer.    </w:t>
      </w:r>
    </w:p>
    <w:p w:rsidR="00633A93" w:rsidRDefault="00633A93" w:rsidP="00A76527">
      <w:pPr>
        <w:pStyle w:val="NormalWeb"/>
        <w:spacing w:before="0" w:beforeAutospacing="0" w:after="0" w:afterAutospacing="0"/>
        <w:rPr>
          <w:rFonts w:asciiTheme="minorHAnsi" w:hAnsiTheme="minorHAnsi"/>
          <w:sz w:val="22"/>
        </w:rPr>
      </w:pPr>
    </w:p>
    <w:p w:rsidR="00633A93" w:rsidRPr="00633A93" w:rsidRDefault="00633A93" w:rsidP="00A76527">
      <w:pPr>
        <w:pStyle w:val="NormalWeb"/>
        <w:spacing w:before="0" w:beforeAutospacing="0" w:after="0" w:afterAutospacing="0"/>
        <w:rPr>
          <w:rFonts w:asciiTheme="minorHAnsi" w:hAnsiTheme="minorHAnsi"/>
          <w:sz w:val="22"/>
        </w:rPr>
      </w:pPr>
      <w:r w:rsidRPr="00633A93">
        <w:rPr>
          <w:rFonts w:asciiTheme="minorHAnsi" w:hAnsiTheme="minorHAnsi"/>
          <w:sz w:val="22"/>
        </w:rPr>
        <w:t>“Community” Land Trusts typically qualify for 501(c)(3) status and maintain a three-part governance structure.  The CCLT models this structure by maintaining 1/3 of its governing board representation with Community and Business Leaders, 1/3 Neighborhood Representatives and 1/3 CLT Homeowners.  This board structure fosters an environment where the key stakeholders govern organizational policy decisions.</w:t>
      </w:r>
    </w:p>
    <w:p w:rsidR="00633A93" w:rsidRPr="00633A93" w:rsidRDefault="00633A93" w:rsidP="00A76527">
      <w:pPr>
        <w:widowControl w:val="0"/>
        <w:spacing w:after="0" w:line="240" w:lineRule="auto"/>
        <w:rPr>
          <w:rFonts w:asciiTheme="minorHAnsi" w:hAnsiTheme="minorHAnsi" w:cs="Arial"/>
          <w:sz w:val="20"/>
        </w:rPr>
      </w:pPr>
    </w:p>
    <w:p w:rsidR="004609AB" w:rsidRDefault="004609AB" w:rsidP="00A76527">
      <w:pPr>
        <w:widowControl w:val="0"/>
        <w:spacing w:after="0" w:line="240" w:lineRule="auto"/>
        <w:rPr>
          <w:rFonts w:cs="Arial"/>
        </w:rPr>
      </w:pPr>
      <w:r>
        <w:rPr>
          <w:rFonts w:cs="Arial"/>
        </w:rPr>
        <w:t xml:space="preserve">The CDBG and Housing Programs </w:t>
      </w:r>
      <w:r w:rsidR="00633A93">
        <w:rPr>
          <w:rFonts w:cs="Arial"/>
        </w:rPr>
        <w:t>staff is currently still located at</w:t>
      </w:r>
      <w:r>
        <w:rPr>
          <w:rFonts w:cs="Arial"/>
        </w:rPr>
        <w:t xml:space="preserve"> a store front location on 500 E. Walnut.  This location allows for greater visibility and accessibility of the City's HUD funded programs</w:t>
      </w:r>
      <w:r w:rsidR="00633A93">
        <w:rPr>
          <w:rFonts w:cs="Arial"/>
        </w:rPr>
        <w:t>, as well as greater collaboration between dedicated staff members</w:t>
      </w:r>
      <w:r>
        <w:rPr>
          <w:rFonts w:cs="Arial"/>
        </w:rPr>
        <w:t>.  The cost of moving to</w:t>
      </w:r>
      <w:r w:rsidR="00633A93">
        <w:rPr>
          <w:rFonts w:cs="Arial"/>
        </w:rPr>
        <w:t xml:space="preserve"> this location and rent is</w:t>
      </w:r>
      <w:r>
        <w:rPr>
          <w:rFonts w:cs="Arial"/>
        </w:rPr>
        <w:t xml:space="preserve"> covered by City general revenue.</w:t>
      </w:r>
    </w:p>
    <w:p w:rsidR="00633A93" w:rsidRDefault="00633A93" w:rsidP="00A76527">
      <w:pPr>
        <w:widowControl w:val="0"/>
        <w:spacing w:after="0" w:line="240" w:lineRule="auto"/>
        <w:rPr>
          <w:b/>
          <w:sz w:val="24"/>
          <w:szCs w:val="24"/>
        </w:rPr>
      </w:pPr>
    </w:p>
    <w:p w:rsidR="00C56567" w:rsidRDefault="00B931E6" w:rsidP="00A76527">
      <w:pPr>
        <w:widowControl w:val="0"/>
        <w:spacing w:after="0" w:line="240" w:lineRule="auto"/>
        <w:rPr>
          <w:b/>
          <w:sz w:val="24"/>
          <w:szCs w:val="24"/>
        </w:rPr>
      </w:pPr>
      <w:r>
        <w:rPr>
          <w:b/>
          <w:sz w:val="24"/>
          <w:szCs w:val="24"/>
        </w:rPr>
        <w:t>Actions taken to enhance coordination between public and private housing and social service agencies. 91.220(k); 91.320(j)</w:t>
      </w:r>
    </w:p>
    <w:p w:rsidR="00633A93" w:rsidRDefault="00633A93" w:rsidP="00A76527">
      <w:pPr>
        <w:widowControl w:val="0"/>
        <w:spacing w:after="0" w:line="240" w:lineRule="auto"/>
        <w:rPr>
          <w:b/>
          <w:sz w:val="24"/>
          <w:szCs w:val="24"/>
        </w:rPr>
      </w:pPr>
    </w:p>
    <w:p w:rsidR="00633A93" w:rsidRDefault="00633A93" w:rsidP="00A76527">
      <w:pPr>
        <w:widowControl w:val="0"/>
        <w:spacing w:after="0" w:line="240" w:lineRule="auto"/>
        <w:rPr>
          <w:rFonts w:cs="Arial"/>
        </w:rPr>
      </w:pPr>
      <w:r>
        <w:rPr>
          <w:rFonts w:cs="Arial"/>
        </w:rPr>
        <w:t>The Community Development Department worked with the Division of Human Services, the Heart of Missouri United Way and the Boone County Community Services Department to implement a web based funding application and reporting system for local service provider organizations. Each funding sources shares the same platform</w:t>
      </w:r>
      <w:r w:rsidR="00E76B4C">
        <w:rPr>
          <w:rFonts w:cs="Arial"/>
        </w:rPr>
        <w:t>, which</w:t>
      </w:r>
      <w:r>
        <w:rPr>
          <w:rFonts w:cs="Arial"/>
        </w:rPr>
        <w:t xml:space="preserve"> has resulted in a more streamlined process for agencies and increase information sharing across funding sources to best utilize funding.  The City continues to work with County Department of Social Services and United Way to most effectively align resources to meet community needs.  </w:t>
      </w:r>
    </w:p>
    <w:p w:rsidR="00633A93" w:rsidRDefault="00633A93" w:rsidP="00A76527">
      <w:pPr>
        <w:widowControl w:val="0"/>
        <w:spacing w:after="0" w:line="240" w:lineRule="auto"/>
        <w:rPr>
          <w:b/>
          <w:sz w:val="24"/>
          <w:szCs w:val="24"/>
        </w:rPr>
      </w:pPr>
    </w:p>
    <w:p w:rsidR="00C56567" w:rsidRDefault="00B931E6" w:rsidP="00A76527">
      <w:pPr>
        <w:widowControl w:val="0"/>
        <w:spacing w:after="0" w:line="240" w:lineRule="auto"/>
        <w:rPr>
          <w:b/>
          <w:sz w:val="24"/>
          <w:szCs w:val="24"/>
        </w:rPr>
      </w:pPr>
      <w:r>
        <w:rPr>
          <w:b/>
          <w:sz w:val="24"/>
          <w:szCs w:val="24"/>
        </w:rPr>
        <w:t>Identify actions taken to overcome the effects of any impediments identified in the jurisdictions analysis of impediments to fair housing choice.  91.520(a)</w:t>
      </w:r>
    </w:p>
    <w:p w:rsidR="00A76527" w:rsidRDefault="00A76527" w:rsidP="00A76527">
      <w:pPr>
        <w:widowControl w:val="0"/>
        <w:spacing w:after="0" w:line="240" w:lineRule="auto"/>
        <w:rPr>
          <w:b/>
          <w:sz w:val="24"/>
          <w:szCs w:val="24"/>
        </w:rPr>
      </w:pPr>
    </w:p>
    <w:p w:rsidR="00633A93" w:rsidRDefault="00633A93" w:rsidP="00A76527">
      <w:pPr>
        <w:widowControl w:val="0"/>
        <w:spacing w:after="0" w:line="240" w:lineRule="auto"/>
        <w:rPr>
          <w:rFonts w:cs="Arial"/>
        </w:rPr>
      </w:pPr>
      <w:r>
        <w:rPr>
          <w:rFonts w:cs="Arial"/>
        </w:rPr>
        <w:t>The City completed implementation of its fair housing website in 2015 and also hosted several educational events in 2016 for low to moderate income households and local Realtors, Property Managers and housing professionals.  The City held its second annual Fair Housing Symposium in April of 2016 which resulted in 72 attendees.  Plans are underway for another Fair Housing Symposium in April of 2017.  The City has also expanded its efforts in the Homeownership Assistance Program to increase mobility by increasing the downpayment assistance amount.  The increase in downpayment asssistance amount has increased the average participant new home purchase price and allowed greater access to higher opportunity neighborhoods and newer housing stock.</w:t>
      </w:r>
    </w:p>
    <w:p w:rsidR="00633A93" w:rsidRDefault="00633A93" w:rsidP="00A76527">
      <w:pPr>
        <w:widowControl w:val="0"/>
        <w:spacing w:after="0" w:line="240" w:lineRule="auto"/>
        <w:rPr>
          <w:b/>
          <w:sz w:val="24"/>
          <w:szCs w:val="24"/>
        </w:rPr>
      </w:pPr>
    </w:p>
    <w:p w:rsidR="00C56567" w:rsidRDefault="00B931E6" w:rsidP="00A76527">
      <w:pPr>
        <w:pStyle w:val="Heading2"/>
        <w:pageBreakBefore/>
        <w:widowControl w:val="0"/>
        <w:spacing w:before="0" w:after="0" w:line="240" w:lineRule="auto"/>
        <w:rPr>
          <w:rFonts w:ascii="Calibri" w:hAnsi="Calibri"/>
          <w:i w:val="0"/>
        </w:rPr>
      </w:pPr>
      <w:r>
        <w:rPr>
          <w:rFonts w:ascii="Calibri" w:hAnsi="Calibri"/>
          <w:i w:val="0"/>
        </w:rPr>
        <w:t>CR-40 - Monitoring 91.220 and 91.230</w:t>
      </w:r>
    </w:p>
    <w:p w:rsidR="00C56567" w:rsidRDefault="00B931E6" w:rsidP="00A76527">
      <w:pPr>
        <w:widowControl w:val="0"/>
        <w:spacing w:after="0" w:line="240" w:lineRule="auto"/>
        <w:rPr>
          <w:b/>
          <w:sz w:val="24"/>
          <w:szCs w:val="24"/>
        </w:rPr>
      </w:pPr>
      <w:r>
        <w:rPr>
          <w:b/>
          <w:sz w:val="24"/>
          <w:szCs w:val="24"/>
        </w:rPr>
        <w:t>Describe the standards and procedures used to monitor activities carried out in furtherance of the plan and used to ensure long-term compliance with requirements of the programs involved, including minority business outreach and the comprehensive planning requirements</w:t>
      </w:r>
    </w:p>
    <w:p w:rsidR="00A76527" w:rsidRDefault="00A76527" w:rsidP="00A76527">
      <w:pPr>
        <w:widowControl w:val="0"/>
        <w:spacing w:after="0" w:line="240" w:lineRule="auto"/>
        <w:rPr>
          <w:b/>
          <w:sz w:val="24"/>
          <w:szCs w:val="24"/>
        </w:rPr>
      </w:pPr>
    </w:p>
    <w:p w:rsidR="00A93534" w:rsidRDefault="00A93534" w:rsidP="00A93534">
      <w:pPr>
        <w:widowControl w:val="0"/>
        <w:spacing w:after="0" w:line="240" w:lineRule="auto"/>
        <w:rPr>
          <w:rFonts w:cs="Arial"/>
        </w:rPr>
      </w:pPr>
      <w:r>
        <w:rPr>
          <w:rFonts w:cs="Arial"/>
        </w:rPr>
        <w:t>The City continued to monitor project completion data and expenditures for all projects completed in 2016.  T</w:t>
      </w:r>
      <w:r w:rsidR="00856290">
        <w:rPr>
          <w:rFonts w:cs="Arial"/>
        </w:rPr>
        <w:t xml:space="preserve">he City conducted the a </w:t>
      </w:r>
      <w:r>
        <w:rPr>
          <w:rFonts w:cs="Arial"/>
        </w:rPr>
        <w:t>risk assessment of current</w:t>
      </w:r>
      <w:r w:rsidR="00856290">
        <w:rPr>
          <w:rFonts w:cs="Arial"/>
        </w:rPr>
        <w:t xml:space="preserve">ly funded organizations in 2016 and </w:t>
      </w:r>
      <w:r>
        <w:rPr>
          <w:rFonts w:cs="Arial"/>
        </w:rPr>
        <w:t>completed on-site monitoring for the following agencies:</w:t>
      </w:r>
    </w:p>
    <w:p w:rsidR="00A93534" w:rsidRDefault="00A93534" w:rsidP="00A93534">
      <w:pPr>
        <w:pStyle w:val="ListParagraph"/>
        <w:widowControl w:val="0"/>
        <w:numPr>
          <w:ilvl w:val="0"/>
          <w:numId w:val="17"/>
        </w:numPr>
        <w:spacing w:after="0" w:line="240" w:lineRule="auto"/>
        <w:rPr>
          <w:rFonts w:cs="Arial"/>
        </w:rPr>
      </w:pPr>
      <w:r>
        <w:rPr>
          <w:rFonts w:cs="Arial"/>
        </w:rPr>
        <w:t>Job Point</w:t>
      </w:r>
    </w:p>
    <w:p w:rsidR="00A93534" w:rsidRDefault="00A93534" w:rsidP="00A93534">
      <w:pPr>
        <w:pStyle w:val="ListParagraph"/>
        <w:widowControl w:val="0"/>
        <w:numPr>
          <w:ilvl w:val="0"/>
          <w:numId w:val="17"/>
        </w:numPr>
        <w:spacing w:after="0" w:line="240" w:lineRule="auto"/>
        <w:rPr>
          <w:rFonts w:cs="Arial"/>
        </w:rPr>
      </w:pPr>
      <w:r>
        <w:rPr>
          <w:rFonts w:cs="Arial"/>
        </w:rPr>
        <w:t>Services for Independent Living</w:t>
      </w:r>
    </w:p>
    <w:p w:rsidR="005B4429" w:rsidRDefault="005B4429" w:rsidP="00A93534">
      <w:pPr>
        <w:pStyle w:val="ListParagraph"/>
        <w:widowControl w:val="0"/>
        <w:numPr>
          <w:ilvl w:val="0"/>
          <w:numId w:val="17"/>
        </w:numPr>
        <w:spacing w:after="0" w:line="240" w:lineRule="auto"/>
        <w:rPr>
          <w:rFonts w:cs="Arial"/>
        </w:rPr>
      </w:pPr>
      <w:r>
        <w:rPr>
          <w:rFonts w:cs="Arial"/>
        </w:rPr>
        <w:t>Reality House</w:t>
      </w:r>
    </w:p>
    <w:p w:rsidR="005B4429" w:rsidRDefault="005B4429" w:rsidP="00A93534">
      <w:pPr>
        <w:pStyle w:val="ListParagraph"/>
        <w:widowControl w:val="0"/>
        <w:numPr>
          <w:ilvl w:val="0"/>
          <w:numId w:val="17"/>
        </w:numPr>
        <w:spacing w:after="0" w:line="240" w:lineRule="auto"/>
        <w:rPr>
          <w:rFonts w:cs="Arial"/>
        </w:rPr>
      </w:pPr>
      <w:r>
        <w:rPr>
          <w:rFonts w:cs="Arial"/>
        </w:rPr>
        <w:t>Phoenix Programs</w:t>
      </w:r>
    </w:p>
    <w:p w:rsidR="005B4429" w:rsidRDefault="005B4429" w:rsidP="00A93534">
      <w:pPr>
        <w:pStyle w:val="ListParagraph"/>
        <w:widowControl w:val="0"/>
        <w:numPr>
          <w:ilvl w:val="0"/>
          <w:numId w:val="17"/>
        </w:numPr>
        <w:spacing w:after="0" w:line="240" w:lineRule="auto"/>
        <w:rPr>
          <w:rFonts w:cs="Arial"/>
        </w:rPr>
      </w:pPr>
      <w:r>
        <w:rPr>
          <w:rFonts w:cs="Arial"/>
        </w:rPr>
        <w:t>Columbia Housing Authority</w:t>
      </w:r>
    </w:p>
    <w:p w:rsidR="005B4429" w:rsidRDefault="005B4429" w:rsidP="00A93534">
      <w:pPr>
        <w:pStyle w:val="ListParagraph"/>
        <w:widowControl w:val="0"/>
        <w:numPr>
          <w:ilvl w:val="0"/>
          <w:numId w:val="17"/>
        </w:numPr>
        <w:spacing w:after="0" w:line="240" w:lineRule="auto"/>
        <w:rPr>
          <w:rFonts w:cs="Arial"/>
        </w:rPr>
      </w:pPr>
      <w:r>
        <w:rPr>
          <w:rFonts w:cs="Arial"/>
        </w:rPr>
        <w:t>Show-Me Central Habitat for Humanity</w:t>
      </w:r>
    </w:p>
    <w:p w:rsidR="005B4429" w:rsidRPr="005B4429" w:rsidRDefault="005B4429" w:rsidP="005B4429">
      <w:pPr>
        <w:widowControl w:val="0"/>
        <w:spacing w:after="0" w:line="240" w:lineRule="auto"/>
        <w:rPr>
          <w:rFonts w:cs="Arial"/>
        </w:rPr>
      </w:pPr>
    </w:p>
    <w:p w:rsidR="00A93534" w:rsidRDefault="005B4429" w:rsidP="005B4429">
      <w:pPr>
        <w:widowControl w:val="0"/>
        <w:spacing w:after="0" w:line="240" w:lineRule="auto"/>
        <w:rPr>
          <w:rFonts w:cs="Arial"/>
        </w:rPr>
      </w:pPr>
      <w:r>
        <w:rPr>
          <w:rFonts w:cs="Arial"/>
        </w:rPr>
        <w:t>A few minor concerns were identified, but addressed by each of the organizations.  No major findings were noted as a part of the monitoring.</w:t>
      </w:r>
    </w:p>
    <w:p w:rsidR="005B4429" w:rsidRDefault="005B4429" w:rsidP="005B4429">
      <w:pPr>
        <w:widowControl w:val="0"/>
        <w:spacing w:after="0" w:line="240" w:lineRule="auto"/>
        <w:rPr>
          <w:b/>
          <w:sz w:val="24"/>
          <w:szCs w:val="24"/>
        </w:rPr>
      </w:pPr>
    </w:p>
    <w:p w:rsidR="00C56567" w:rsidRDefault="00B931E6" w:rsidP="00A76527">
      <w:pPr>
        <w:widowControl w:val="0"/>
        <w:spacing w:after="0" w:line="240" w:lineRule="auto"/>
        <w:rPr>
          <w:b/>
          <w:sz w:val="24"/>
          <w:szCs w:val="24"/>
        </w:rPr>
      </w:pPr>
      <w:r>
        <w:rPr>
          <w:b/>
          <w:sz w:val="24"/>
          <w:szCs w:val="24"/>
        </w:rPr>
        <w:t>Citizen Participation Plan 91.105(d); 91.115(d)</w:t>
      </w:r>
    </w:p>
    <w:p w:rsidR="00C56567" w:rsidRDefault="00B931E6" w:rsidP="00A76527">
      <w:pPr>
        <w:widowControl w:val="0"/>
        <w:spacing w:after="0" w:line="240" w:lineRule="auto"/>
        <w:rPr>
          <w:sz w:val="24"/>
          <w:szCs w:val="24"/>
        </w:rPr>
      </w:pPr>
      <w:r>
        <w:rPr>
          <w:b/>
          <w:sz w:val="24"/>
          <w:szCs w:val="24"/>
        </w:rPr>
        <w:t>Describe the efforts to provide citizens with reasonable notice and an opportunity to comment on performance reports</w:t>
      </w:r>
      <w:r>
        <w:rPr>
          <w:sz w:val="24"/>
          <w:szCs w:val="24"/>
        </w:rPr>
        <w:t>.</w:t>
      </w:r>
    </w:p>
    <w:p w:rsidR="00A76527" w:rsidRDefault="00A76527" w:rsidP="00A76527">
      <w:pPr>
        <w:widowControl w:val="0"/>
        <w:spacing w:after="0" w:line="240" w:lineRule="auto"/>
        <w:rPr>
          <w:sz w:val="24"/>
          <w:szCs w:val="24"/>
        </w:rPr>
      </w:pPr>
    </w:p>
    <w:p w:rsidR="005B4429" w:rsidRDefault="005B4429" w:rsidP="00A76527">
      <w:pPr>
        <w:widowControl w:val="0"/>
        <w:spacing w:after="0" w:line="240" w:lineRule="auto"/>
        <w:rPr>
          <w:rFonts w:cs="Arial"/>
        </w:rPr>
      </w:pPr>
      <w:r>
        <w:rPr>
          <w:rFonts w:cs="Arial"/>
        </w:rPr>
        <w:t>The City provided notice to Columbia citizens through its local newspaper on Sunday, March 5, 2017 for comment on the FY 2016 CAPER.  The notice included notification of a March 20, 2017 public hearing and 15 day comment period.</w:t>
      </w:r>
    </w:p>
    <w:p w:rsidR="005B4429" w:rsidRDefault="005B4429" w:rsidP="00A76527">
      <w:pPr>
        <w:widowControl w:val="0"/>
        <w:spacing w:after="0" w:line="240" w:lineRule="auto"/>
        <w:rPr>
          <w:sz w:val="24"/>
          <w:szCs w:val="24"/>
        </w:rPr>
      </w:pPr>
    </w:p>
    <w:p w:rsidR="00C56567" w:rsidRDefault="00B931E6" w:rsidP="00A76527">
      <w:pPr>
        <w:pStyle w:val="Heading2"/>
        <w:pageBreakBefore/>
        <w:widowControl w:val="0"/>
        <w:spacing w:before="0" w:after="0" w:line="240" w:lineRule="auto"/>
        <w:rPr>
          <w:rFonts w:ascii="Calibri" w:hAnsi="Calibri"/>
          <w:i w:val="0"/>
        </w:rPr>
      </w:pPr>
      <w:r>
        <w:rPr>
          <w:rFonts w:ascii="Calibri" w:hAnsi="Calibri"/>
          <w:i w:val="0"/>
        </w:rPr>
        <w:t>CR-45 - CDBG 91.520(c)</w:t>
      </w:r>
    </w:p>
    <w:p w:rsidR="00C56567" w:rsidRDefault="00B931E6" w:rsidP="00A76527">
      <w:pPr>
        <w:widowControl w:val="0"/>
        <w:spacing w:after="0" w:line="240" w:lineRule="auto"/>
        <w:rPr>
          <w:b/>
          <w:sz w:val="24"/>
          <w:szCs w:val="24"/>
        </w:rPr>
      </w:pPr>
      <w:r>
        <w:rPr>
          <w:b/>
          <w:sz w:val="24"/>
          <w:szCs w:val="24"/>
        </w:rPr>
        <w:t>Specify the nature of, and reasons for, any changes in the jurisdiction’s program objectives and indications of how the jurisdiction would change its programs as a result of its experiences.</w:t>
      </w:r>
    </w:p>
    <w:p w:rsidR="00A76527" w:rsidRDefault="00A76527" w:rsidP="00A76527">
      <w:pPr>
        <w:widowControl w:val="0"/>
        <w:spacing w:after="0" w:line="240" w:lineRule="auto"/>
        <w:rPr>
          <w:b/>
          <w:sz w:val="24"/>
          <w:szCs w:val="24"/>
        </w:rPr>
      </w:pPr>
    </w:p>
    <w:p w:rsidR="005B4429" w:rsidRDefault="005B4429" w:rsidP="00A76527">
      <w:pPr>
        <w:widowControl w:val="0"/>
        <w:spacing w:after="0" w:line="240" w:lineRule="auto"/>
        <w:rPr>
          <w:rFonts w:cs="Arial"/>
        </w:rPr>
      </w:pPr>
      <w:r>
        <w:rPr>
          <w:rFonts w:cs="Arial"/>
        </w:rPr>
        <w:t>The City of Columbia does not forsee any major changes in program objectives as result of the FY 2016 CAPER.  The City does anticipate guiding future funding decisions and focus on particular programs based on 2016 performance data.  The City anticipates focusing additional attention to increasing perfor</w:t>
      </w:r>
      <w:r w:rsidR="00D60C92">
        <w:rPr>
          <w:rFonts w:cs="Arial"/>
        </w:rPr>
        <w:t>mance under its rehab and microloan</w:t>
      </w:r>
      <w:r>
        <w:rPr>
          <w:rFonts w:cs="Arial"/>
        </w:rPr>
        <w:t xml:space="preserve"> objectives and programs in order to more fully meet goals and objectives specified in the 2015-2019 Consolidated Plan.</w:t>
      </w:r>
    </w:p>
    <w:p w:rsidR="005B4429" w:rsidRDefault="005B4429" w:rsidP="00A76527">
      <w:pPr>
        <w:widowControl w:val="0"/>
        <w:spacing w:after="0" w:line="240" w:lineRule="auto"/>
        <w:rPr>
          <w:b/>
          <w:sz w:val="24"/>
          <w:szCs w:val="24"/>
        </w:rPr>
      </w:pPr>
    </w:p>
    <w:p w:rsidR="00C56567" w:rsidRDefault="00B931E6" w:rsidP="00A76527">
      <w:pPr>
        <w:pStyle w:val="Heading2"/>
        <w:pageBreakBefore/>
        <w:widowControl w:val="0"/>
        <w:spacing w:before="0" w:after="0" w:line="240" w:lineRule="auto"/>
        <w:rPr>
          <w:rFonts w:ascii="Calibri" w:hAnsi="Calibri"/>
          <w:i w:val="0"/>
        </w:rPr>
      </w:pPr>
      <w:r>
        <w:rPr>
          <w:rFonts w:ascii="Calibri" w:hAnsi="Calibri"/>
          <w:i w:val="0"/>
        </w:rPr>
        <w:t>CR-50 - HOME 91.520(d)</w:t>
      </w:r>
    </w:p>
    <w:p w:rsidR="00C56567" w:rsidRDefault="00B931E6" w:rsidP="00A76527">
      <w:pPr>
        <w:widowControl w:val="0"/>
        <w:spacing w:after="0" w:line="240" w:lineRule="auto"/>
        <w:rPr>
          <w:b/>
          <w:sz w:val="24"/>
          <w:szCs w:val="24"/>
        </w:rPr>
      </w:pPr>
      <w:r>
        <w:rPr>
          <w:b/>
          <w:sz w:val="24"/>
          <w:szCs w:val="24"/>
        </w:rPr>
        <w:t xml:space="preserve">Include the results of on-site inspections of affordable rental housing assisted under the program to determine compliance with housing codes and other applicable regulations </w:t>
      </w:r>
    </w:p>
    <w:p w:rsidR="00A76527" w:rsidRDefault="00A76527" w:rsidP="00A76527">
      <w:pPr>
        <w:widowControl w:val="0"/>
        <w:spacing w:after="0" w:line="240" w:lineRule="auto"/>
        <w:rPr>
          <w:b/>
          <w:sz w:val="24"/>
          <w:szCs w:val="24"/>
        </w:rPr>
      </w:pPr>
    </w:p>
    <w:p w:rsidR="00C56567" w:rsidRDefault="00B931E6" w:rsidP="00A76527">
      <w:pPr>
        <w:widowControl w:val="0"/>
        <w:spacing w:after="0" w:line="240" w:lineRule="auto"/>
        <w:rPr>
          <w:sz w:val="24"/>
          <w:szCs w:val="24"/>
        </w:rPr>
      </w:pPr>
      <w:r>
        <w:rPr>
          <w:sz w:val="24"/>
          <w:szCs w:val="24"/>
        </w:rPr>
        <w:t>Please list those projects that should have been inspected on-site this program year based upon the schedule in §92.504(d). Indicate which of these were inspected and a summary of issues that were detected during the inspection. For those that were not inspected, please indicate the reason and how you will remedy the situation.</w:t>
      </w:r>
    </w:p>
    <w:p w:rsidR="007731CB" w:rsidRDefault="007731CB" w:rsidP="00A76527">
      <w:pPr>
        <w:widowControl w:val="0"/>
        <w:spacing w:after="0" w:line="240" w:lineRule="auto"/>
        <w:rPr>
          <w:rFonts w:cs="Arial"/>
        </w:rPr>
      </w:pPr>
      <w:r>
        <w:rPr>
          <w:rFonts w:cs="Arial"/>
        </w:rPr>
        <w:t>The City conducted visits on the following sites for 2016:</w:t>
      </w:r>
    </w:p>
    <w:p w:rsidR="007731CB" w:rsidRPr="00C379D6" w:rsidRDefault="007731CB" w:rsidP="00A76527">
      <w:pPr>
        <w:pStyle w:val="ListParagraph"/>
        <w:widowControl w:val="0"/>
        <w:numPr>
          <w:ilvl w:val="0"/>
          <w:numId w:val="18"/>
        </w:numPr>
        <w:spacing w:after="0" w:line="240" w:lineRule="auto"/>
        <w:rPr>
          <w:rFonts w:cs="Arial"/>
        </w:rPr>
      </w:pPr>
      <w:r w:rsidRPr="00C379D6">
        <w:rPr>
          <w:rFonts w:cs="Arial"/>
        </w:rPr>
        <w:t>Hanover Estates</w:t>
      </w:r>
      <w:r>
        <w:rPr>
          <w:rFonts w:cs="Arial"/>
        </w:rPr>
        <w:t xml:space="preserve"> (I, II, &amp; III)</w:t>
      </w:r>
    </w:p>
    <w:p w:rsidR="007731CB" w:rsidRPr="00C379D6" w:rsidRDefault="007731CB" w:rsidP="00A76527">
      <w:pPr>
        <w:pStyle w:val="ListParagraph"/>
        <w:widowControl w:val="0"/>
        <w:numPr>
          <w:ilvl w:val="0"/>
          <w:numId w:val="18"/>
        </w:numPr>
        <w:spacing w:after="0" w:line="240" w:lineRule="auto"/>
        <w:rPr>
          <w:rFonts w:cs="Arial"/>
        </w:rPr>
      </w:pPr>
      <w:r w:rsidRPr="00C379D6">
        <w:rPr>
          <w:rFonts w:cs="Arial"/>
        </w:rPr>
        <w:t>Bethel Ridge</w:t>
      </w:r>
      <w:r>
        <w:rPr>
          <w:rFonts w:cs="Arial"/>
        </w:rPr>
        <w:t xml:space="preserve"> (I &amp; II)</w:t>
      </w:r>
    </w:p>
    <w:p w:rsidR="007731CB" w:rsidRPr="00C379D6" w:rsidRDefault="007731CB" w:rsidP="00A76527">
      <w:pPr>
        <w:pStyle w:val="ListParagraph"/>
        <w:widowControl w:val="0"/>
        <w:numPr>
          <w:ilvl w:val="0"/>
          <w:numId w:val="18"/>
        </w:numPr>
        <w:spacing w:after="0" w:line="240" w:lineRule="auto"/>
        <w:rPr>
          <w:rFonts w:cs="Arial"/>
        </w:rPr>
      </w:pPr>
      <w:r w:rsidRPr="00C379D6">
        <w:rPr>
          <w:rFonts w:cs="Arial"/>
        </w:rPr>
        <w:t>McBaine Townhomes</w:t>
      </w:r>
    </w:p>
    <w:p w:rsidR="007731CB" w:rsidRPr="00C379D6" w:rsidRDefault="007731CB" w:rsidP="00A76527">
      <w:pPr>
        <w:pStyle w:val="ListParagraph"/>
        <w:widowControl w:val="0"/>
        <w:numPr>
          <w:ilvl w:val="0"/>
          <w:numId w:val="18"/>
        </w:numPr>
        <w:spacing w:after="0" w:line="240" w:lineRule="auto"/>
        <w:rPr>
          <w:rFonts w:cs="Arial"/>
        </w:rPr>
      </w:pPr>
      <w:r w:rsidRPr="00C379D6">
        <w:rPr>
          <w:rFonts w:cs="Arial"/>
        </w:rPr>
        <w:t>RAIN Stone Street</w:t>
      </w:r>
    </w:p>
    <w:p w:rsidR="007731CB" w:rsidRPr="00C379D6" w:rsidRDefault="007731CB" w:rsidP="00A76527">
      <w:pPr>
        <w:pStyle w:val="ListParagraph"/>
        <w:widowControl w:val="0"/>
        <w:numPr>
          <w:ilvl w:val="0"/>
          <w:numId w:val="18"/>
        </w:numPr>
        <w:spacing w:after="0" w:line="240" w:lineRule="auto"/>
        <w:rPr>
          <w:rFonts w:cs="Arial"/>
        </w:rPr>
      </w:pPr>
      <w:r w:rsidRPr="00C379D6">
        <w:rPr>
          <w:rFonts w:cs="Arial"/>
        </w:rPr>
        <w:t>305 Benton</w:t>
      </w:r>
    </w:p>
    <w:p w:rsidR="007731CB" w:rsidRDefault="007731CB" w:rsidP="00A76527">
      <w:pPr>
        <w:widowControl w:val="0"/>
        <w:spacing w:after="0" w:line="240" w:lineRule="auto"/>
        <w:rPr>
          <w:rFonts w:cs="Arial"/>
        </w:rPr>
      </w:pPr>
    </w:p>
    <w:p w:rsidR="007731CB" w:rsidRDefault="007731CB" w:rsidP="00A76527">
      <w:pPr>
        <w:widowControl w:val="0"/>
        <w:spacing w:after="0" w:line="240" w:lineRule="auto"/>
        <w:rPr>
          <w:rFonts w:cs="Arial"/>
        </w:rPr>
      </w:pPr>
      <w:r>
        <w:rPr>
          <w:rFonts w:cs="Arial"/>
        </w:rPr>
        <w:t>Issues detected included proper inclusion of HOME lease addendum requirements and utility calculations.  Actions were taken to remedy these issues.</w:t>
      </w:r>
    </w:p>
    <w:p w:rsidR="007731CB" w:rsidRDefault="007731CB" w:rsidP="00A76527">
      <w:pPr>
        <w:widowControl w:val="0"/>
        <w:spacing w:after="0" w:line="240" w:lineRule="auto"/>
        <w:rPr>
          <w:sz w:val="24"/>
          <w:szCs w:val="24"/>
        </w:rPr>
      </w:pPr>
    </w:p>
    <w:p w:rsidR="00C56567" w:rsidRDefault="00B931E6" w:rsidP="00A76527">
      <w:pPr>
        <w:widowControl w:val="0"/>
        <w:spacing w:after="0" w:line="240" w:lineRule="auto"/>
        <w:rPr>
          <w:b/>
          <w:sz w:val="24"/>
          <w:szCs w:val="24"/>
        </w:rPr>
      </w:pPr>
      <w:r>
        <w:rPr>
          <w:b/>
          <w:sz w:val="24"/>
          <w:szCs w:val="24"/>
        </w:rPr>
        <w:t>Provide an assessment of the jurisdiction's affirmative marketing actions for HOME units. 92.351(b)</w:t>
      </w:r>
    </w:p>
    <w:p w:rsidR="00A76527" w:rsidRDefault="00A76527" w:rsidP="00A76527">
      <w:pPr>
        <w:widowControl w:val="0"/>
        <w:spacing w:after="0" w:line="240" w:lineRule="auto"/>
        <w:rPr>
          <w:b/>
          <w:sz w:val="24"/>
          <w:szCs w:val="24"/>
        </w:rPr>
      </w:pPr>
    </w:p>
    <w:p w:rsidR="003679D9" w:rsidRDefault="003679D9" w:rsidP="00A76527">
      <w:pPr>
        <w:widowControl w:val="0"/>
        <w:spacing w:after="0" w:line="240" w:lineRule="auto"/>
        <w:rPr>
          <w:rFonts w:cs="Arial"/>
        </w:rPr>
      </w:pPr>
      <w:r>
        <w:rPr>
          <w:rFonts w:cs="Arial"/>
        </w:rPr>
        <w:t>Each organization with HOME funded units is required to undertake affirmative marketing actions as part of leasing its HOME funded units.  Each organization is monitored for ensuring affirmative marketing actions and materials can be verified.</w:t>
      </w:r>
    </w:p>
    <w:p w:rsidR="003679D9" w:rsidRDefault="003679D9" w:rsidP="00A76527">
      <w:pPr>
        <w:widowControl w:val="0"/>
        <w:spacing w:after="0" w:line="240" w:lineRule="auto"/>
        <w:rPr>
          <w:b/>
          <w:sz w:val="24"/>
          <w:szCs w:val="24"/>
        </w:rPr>
      </w:pPr>
    </w:p>
    <w:p w:rsidR="00C56567" w:rsidRDefault="00B931E6" w:rsidP="00A76527">
      <w:pPr>
        <w:widowControl w:val="0"/>
        <w:spacing w:after="0" w:line="240" w:lineRule="auto"/>
        <w:rPr>
          <w:b/>
          <w:sz w:val="24"/>
          <w:szCs w:val="24"/>
        </w:rPr>
      </w:pPr>
      <w:r>
        <w:rPr>
          <w:b/>
          <w:sz w:val="24"/>
          <w:szCs w:val="24"/>
        </w:rPr>
        <w:t>Refer to IDIS reports to describe the amount and use of program income for projects, including the number of projects and owner and tenant characteristics</w:t>
      </w:r>
    </w:p>
    <w:p w:rsidR="003679D9" w:rsidRDefault="003679D9" w:rsidP="00A76527">
      <w:pPr>
        <w:widowControl w:val="0"/>
        <w:spacing w:after="0" w:line="240" w:lineRule="auto"/>
        <w:rPr>
          <w:rFonts w:cs="Arial"/>
        </w:rPr>
      </w:pPr>
    </w:p>
    <w:p w:rsidR="003679D9" w:rsidRDefault="003679D9" w:rsidP="00A76527">
      <w:pPr>
        <w:widowControl w:val="0"/>
        <w:spacing w:after="0" w:line="240" w:lineRule="auto"/>
        <w:rPr>
          <w:rFonts w:cs="Arial"/>
        </w:rPr>
      </w:pPr>
      <w:r>
        <w:rPr>
          <w:rFonts w:cs="Arial"/>
        </w:rPr>
        <w:t>The City utilized $112,965.57 in HOME program income in FY 2015.  These funds were used exclusively for the Owner-Occupied Rehabilitation Program and Homeownership Assistance Program.</w:t>
      </w:r>
    </w:p>
    <w:p w:rsidR="003679D9" w:rsidRDefault="003679D9" w:rsidP="00A76527">
      <w:pPr>
        <w:widowControl w:val="0"/>
        <w:spacing w:after="0" w:line="240" w:lineRule="auto"/>
        <w:rPr>
          <w:b/>
          <w:sz w:val="24"/>
          <w:szCs w:val="24"/>
        </w:rPr>
      </w:pPr>
    </w:p>
    <w:p w:rsidR="00C56567" w:rsidRDefault="00B931E6" w:rsidP="00A76527">
      <w:pPr>
        <w:widowControl w:val="0"/>
        <w:spacing w:after="0" w:line="240" w:lineRule="auto"/>
        <w:rPr>
          <w:b/>
          <w:sz w:val="24"/>
          <w:szCs w:val="24"/>
        </w:rPr>
      </w:pPr>
      <w:r>
        <w:rPr>
          <w:b/>
          <w:sz w:val="24"/>
          <w:szCs w:val="24"/>
        </w:rPr>
        <w:t>Describe other actions taken to foster and maintain affordable housing.  91.220(k) (STATES ONLY: Including the coordination of LIHTC with the development of affordable housing).  91.320(j)</w:t>
      </w:r>
    </w:p>
    <w:p w:rsidR="00A76527" w:rsidRDefault="00A76527" w:rsidP="00A76527">
      <w:pPr>
        <w:widowControl w:val="0"/>
        <w:spacing w:after="0" w:line="240" w:lineRule="auto"/>
        <w:rPr>
          <w:b/>
          <w:sz w:val="24"/>
          <w:szCs w:val="24"/>
        </w:rPr>
      </w:pPr>
    </w:p>
    <w:p w:rsidR="003679D9" w:rsidRDefault="003679D9" w:rsidP="00A76527">
      <w:pPr>
        <w:widowControl w:val="0"/>
        <w:spacing w:after="0" w:line="240" w:lineRule="auto"/>
        <w:rPr>
          <w:b/>
          <w:sz w:val="24"/>
          <w:szCs w:val="24"/>
        </w:rPr>
      </w:pPr>
      <w:r>
        <w:rPr>
          <w:rFonts w:cs="Arial"/>
        </w:rPr>
        <w:t>The City allocated an additional $100,000 in general revenue for its Homeownership Assistance Program, which was directed to three geographic areas identified as needing additional public investment.  The City also allocated an additional $200,000 in general revenue funds for the development of 4 new cottage housing style homes to place within the new Columbia Community Land Trust organization.  The City has also procured Michael Brown of Burlington Associates to assist with implementation of the Columbia Community Land Trust organization.  City Council allocated approximately $19,000 in Council reserves for the procurement of Michael Brown's services.  The new Columbia Community Land Trust organization has been incorporated and approved its by-laws.  It is anticipated that the first 4 CCLT homes will be completed by fall of 2017.</w:t>
      </w:r>
    </w:p>
    <w:p w:rsidR="00C56567" w:rsidRDefault="00C56567">
      <w:pPr>
        <w:widowControl w:val="0"/>
        <w:rPr>
          <w:rFonts w:cs="Arial"/>
          <w:szCs w:val="26"/>
        </w:rPr>
      </w:pPr>
    </w:p>
    <w:sectPr w:rsidR="00C5656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7E3" w:rsidRDefault="002D77E3">
      <w:r>
        <w:separator/>
      </w:r>
    </w:p>
  </w:endnote>
  <w:endnote w:type="continuationSeparator" w:id="0">
    <w:p w:rsidR="002D77E3" w:rsidRDefault="002D7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1E0" w:firstRow="1" w:lastRow="1" w:firstColumn="1" w:lastColumn="1" w:noHBand="0" w:noVBand="0"/>
    </w:tblPr>
    <w:tblGrid>
      <w:gridCol w:w="828"/>
      <w:gridCol w:w="7976"/>
      <w:gridCol w:w="772"/>
    </w:tblGrid>
    <w:tr w:rsidR="00FF1D5D">
      <w:trPr>
        <w:jc w:val="center"/>
      </w:trPr>
      <w:tc>
        <w:tcPr>
          <w:tcW w:w="828" w:type="dxa"/>
        </w:tcPr>
        <w:p w:rsidR="00FF1D5D" w:rsidRDefault="00FF1D5D">
          <w:pPr>
            <w:pStyle w:val="Footer"/>
            <w:spacing w:after="0" w:line="240" w:lineRule="auto"/>
            <w:jc w:val="center"/>
          </w:pPr>
        </w:p>
      </w:tc>
      <w:tc>
        <w:tcPr>
          <w:tcW w:w="7976" w:type="dxa"/>
        </w:tcPr>
        <w:p w:rsidR="00FF1D5D" w:rsidRDefault="00FF1D5D">
          <w:pPr>
            <w:pStyle w:val="Footer"/>
            <w:spacing w:after="0" w:line="240" w:lineRule="auto"/>
            <w:jc w:val="center"/>
          </w:pPr>
          <w:r>
            <w:t>CAPER</w:t>
          </w:r>
        </w:p>
      </w:tc>
      <w:tc>
        <w:tcPr>
          <w:tcW w:w="772" w:type="dxa"/>
        </w:tcPr>
        <w:p w:rsidR="00FF1D5D" w:rsidRDefault="00FF1D5D">
          <w:pPr>
            <w:pStyle w:val="Footer"/>
            <w:spacing w:after="0" w:line="240" w:lineRule="auto"/>
            <w:jc w:val="right"/>
          </w:pPr>
          <w:r>
            <w:fldChar w:fldCharType="begin"/>
          </w:r>
          <w:r>
            <w:instrText>page</w:instrText>
          </w:r>
          <w:r>
            <w:fldChar w:fldCharType="separate"/>
          </w:r>
          <w:r w:rsidR="002D77E3">
            <w:rPr>
              <w:noProof/>
            </w:rPr>
            <w:t>1</w:t>
          </w:r>
          <w:r>
            <w:fldChar w:fldCharType="end"/>
          </w:r>
        </w:p>
      </w:tc>
    </w:tr>
  </w:tbl>
  <w:p w:rsidR="00FF1D5D" w:rsidRDefault="00FF1D5D">
    <w:pPr>
      <w:pStyle w:val="Footer"/>
      <w:spacing w:before="120" w:after="0"/>
      <w:rPr>
        <w:rFonts w:asciiTheme="minorHAnsi" w:hAnsiTheme="minorHAnsi"/>
        <w:b/>
        <w:i/>
        <w:sz w:val="16"/>
      </w:rPr>
    </w:pPr>
    <w:r>
      <w:rPr>
        <w:rFonts w:asciiTheme="minorHAnsi" w:hAnsiTheme="minorHAnsi" w:cs="Arial"/>
        <w:color w:val="000000"/>
        <w:sz w:val="16"/>
      </w:rPr>
      <w:t>OMB Control No: 2506-0117 (exp. 07/31/2015)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7E3" w:rsidRDefault="002D77E3">
      <w:r>
        <w:separator/>
      </w:r>
    </w:p>
  </w:footnote>
  <w:footnote w:type="continuationSeparator" w:id="0">
    <w:p w:rsidR="002D77E3" w:rsidRDefault="002D77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3108E9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A384878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111CDC5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6CECF73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A8B8103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ECD4C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06E98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ACAE8C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3EC821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7F0FC44"/>
    <w:lvl w:ilvl="0">
      <w:start w:val="1"/>
      <w:numFmt w:val="bullet"/>
      <w:lvlText w:val=""/>
      <w:lvlJc w:val="left"/>
      <w:pPr>
        <w:tabs>
          <w:tab w:val="num" w:pos="360"/>
        </w:tabs>
        <w:ind w:left="360" w:hanging="360"/>
      </w:pPr>
      <w:rPr>
        <w:rFonts w:ascii="Symbol" w:hAnsi="Symbol" w:hint="default"/>
      </w:rPr>
    </w:lvl>
  </w:abstractNum>
  <w:abstractNum w:abstractNumId="10">
    <w:nsid w:val="042A6DC6"/>
    <w:multiLevelType w:val="hybridMultilevel"/>
    <w:tmpl w:val="203CEBDC"/>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45B42A3"/>
    <w:multiLevelType w:val="hybridMultilevel"/>
    <w:tmpl w:val="FA82EE94"/>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2631041"/>
    <w:multiLevelType w:val="hybridMultilevel"/>
    <w:tmpl w:val="A488A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EA4E8C"/>
    <w:multiLevelType w:val="hybridMultilevel"/>
    <w:tmpl w:val="4882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9A3E8F"/>
    <w:multiLevelType w:val="hybridMultilevel"/>
    <w:tmpl w:val="7702014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nsid w:val="58CE2ACE"/>
    <w:multiLevelType w:val="hybridMultilevel"/>
    <w:tmpl w:val="D780CAE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nsid w:val="6D5C4484"/>
    <w:multiLevelType w:val="hybridMultilevel"/>
    <w:tmpl w:val="650616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7CAD51AB"/>
    <w:multiLevelType w:val="hybridMultilevel"/>
    <w:tmpl w:val="242AB0BC"/>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7"/>
  </w:num>
  <w:num w:numId="14">
    <w:abstractNumId w:val="15"/>
  </w:num>
  <w:num w:numId="15">
    <w:abstractNumId w:val="14"/>
  </w:num>
  <w:num w:numId="16">
    <w:abstractNumId w:val="16"/>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hideSpellingErrors/>
  <w:hideGrammatical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550"/>
    <w:rsid w:val="00000EC6"/>
    <w:rsid w:val="00001671"/>
    <w:rsid w:val="0000299C"/>
    <w:rsid w:val="000035A3"/>
    <w:rsid w:val="00004F01"/>
    <w:rsid w:val="000101FE"/>
    <w:rsid w:val="000109A7"/>
    <w:rsid w:val="000116B2"/>
    <w:rsid w:val="0001643E"/>
    <w:rsid w:val="000202EB"/>
    <w:rsid w:val="000204C7"/>
    <w:rsid w:val="00022CF5"/>
    <w:rsid w:val="000237FC"/>
    <w:rsid w:val="00025DEC"/>
    <w:rsid w:val="00026149"/>
    <w:rsid w:val="00027899"/>
    <w:rsid w:val="00031960"/>
    <w:rsid w:val="00032C1E"/>
    <w:rsid w:val="0003300B"/>
    <w:rsid w:val="0003316E"/>
    <w:rsid w:val="0003459B"/>
    <w:rsid w:val="00035628"/>
    <w:rsid w:val="000357CA"/>
    <w:rsid w:val="00035F04"/>
    <w:rsid w:val="000365DA"/>
    <w:rsid w:val="00040E81"/>
    <w:rsid w:val="0004164B"/>
    <w:rsid w:val="00042C4D"/>
    <w:rsid w:val="0004355B"/>
    <w:rsid w:val="00043B67"/>
    <w:rsid w:val="00044565"/>
    <w:rsid w:val="00045711"/>
    <w:rsid w:val="00047E3E"/>
    <w:rsid w:val="0005057C"/>
    <w:rsid w:val="000518AA"/>
    <w:rsid w:val="00053D85"/>
    <w:rsid w:val="00053E62"/>
    <w:rsid w:val="00054780"/>
    <w:rsid w:val="00054D96"/>
    <w:rsid w:val="00056828"/>
    <w:rsid w:val="00057E29"/>
    <w:rsid w:val="00060CE4"/>
    <w:rsid w:val="00061845"/>
    <w:rsid w:val="00061B37"/>
    <w:rsid w:val="00061E41"/>
    <w:rsid w:val="000620FD"/>
    <w:rsid w:val="00065D4E"/>
    <w:rsid w:val="000661A8"/>
    <w:rsid w:val="000670CF"/>
    <w:rsid w:val="00067FD4"/>
    <w:rsid w:val="00070633"/>
    <w:rsid w:val="00072C8A"/>
    <w:rsid w:val="00072F46"/>
    <w:rsid w:val="000734F6"/>
    <w:rsid w:val="00074919"/>
    <w:rsid w:val="00074DEF"/>
    <w:rsid w:val="0007533E"/>
    <w:rsid w:val="00075AB2"/>
    <w:rsid w:val="0007671E"/>
    <w:rsid w:val="00076CF5"/>
    <w:rsid w:val="00076D36"/>
    <w:rsid w:val="00077A7A"/>
    <w:rsid w:val="00077F16"/>
    <w:rsid w:val="00080209"/>
    <w:rsid w:val="0008068E"/>
    <w:rsid w:val="00080943"/>
    <w:rsid w:val="00080ECB"/>
    <w:rsid w:val="00081136"/>
    <w:rsid w:val="0008229D"/>
    <w:rsid w:val="000825DF"/>
    <w:rsid w:val="000831B8"/>
    <w:rsid w:val="00083B49"/>
    <w:rsid w:val="00083BEB"/>
    <w:rsid w:val="00084058"/>
    <w:rsid w:val="0008420F"/>
    <w:rsid w:val="00084E02"/>
    <w:rsid w:val="00085ECE"/>
    <w:rsid w:val="0008764E"/>
    <w:rsid w:val="00087BEC"/>
    <w:rsid w:val="00091139"/>
    <w:rsid w:val="00093600"/>
    <w:rsid w:val="0009415B"/>
    <w:rsid w:val="0009419B"/>
    <w:rsid w:val="00096632"/>
    <w:rsid w:val="00096BAB"/>
    <w:rsid w:val="00096FE3"/>
    <w:rsid w:val="000975D9"/>
    <w:rsid w:val="00097D73"/>
    <w:rsid w:val="000A003A"/>
    <w:rsid w:val="000A3328"/>
    <w:rsid w:val="000A3869"/>
    <w:rsid w:val="000A3AF5"/>
    <w:rsid w:val="000A49C3"/>
    <w:rsid w:val="000A6604"/>
    <w:rsid w:val="000A7EB6"/>
    <w:rsid w:val="000B0148"/>
    <w:rsid w:val="000B291F"/>
    <w:rsid w:val="000B45BD"/>
    <w:rsid w:val="000B5D24"/>
    <w:rsid w:val="000B6192"/>
    <w:rsid w:val="000B6842"/>
    <w:rsid w:val="000B7A3C"/>
    <w:rsid w:val="000C0752"/>
    <w:rsid w:val="000C0905"/>
    <w:rsid w:val="000C20FC"/>
    <w:rsid w:val="000C265E"/>
    <w:rsid w:val="000C3ACA"/>
    <w:rsid w:val="000C666E"/>
    <w:rsid w:val="000C74F3"/>
    <w:rsid w:val="000D14F6"/>
    <w:rsid w:val="000D422A"/>
    <w:rsid w:val="000D488E"/>
    <w:rsid w:val="000D7181"/>
    <w:rsid w:val="000D71A6"/>
    <w:rsid w:val="000D7D16"/>
    <w:rsid w:val="000E0343"/>
    <w:rsid w:val="000E0D5D"/>
    <w:rsid w:val="000E13BA"/>
    <w:rsid w:val="000E1DFB"/>
    <w:rsid w:val="000E1F9B"/>
    <w:rsid w:val="000E4A11"/>
    <w:rsid w:val="000E5032"/>
    <w:rsid w:val="000E53D6"/>
    <w:rsid w:val="000E5FBD"/>
    <w:rsid w:val="000E6121"/>
    <w:rsid w:val="000E640E"/>
    <w:rsid w:val="000E6B9A"/>
    <w:rsid w:val="000E6CB6"/>
    <w:rsid w:val="000F04AF"/>
    <w:rsid w:val="000F21DE"/>
    <w:rsid w:val="000F6B53"/>
    <w:rsid w:val="001000D7"/>
    <w:rsid w:val="00101E3D"/>
    <w:rsid w:val="00102442"/>
    <w:rsid w:val="0010332E"/>
    <w:rsid w:val="0010487A"/>
    <w:rsid w:val="00106CAB"/>
    <w:rsid w:val="0010757C"/>
    <w:rsid w:val="001105E4"/>
    <w:rsid w:val="00111DEA"/>
    <w:rsid w:val="00111F9F"/>
    <w:rsid w:val="001121F8"/>
    <w:rsid w:val="001127C4"/>
    <w:rsid w:val="00112F30"/>
    <w:rsid w:val="00114CA6"/>
    <w:rsid w:val="00115066"/>
    <w:rsid w:val="00117AB9"/>
    <w:rsid w:val="00117CAF"/>
    <w:rsid w:val="00120904"/>
    <w:rsid w:val="00123B67"/>
    <w:rsid w:val="00124E85"/>
    <w:rsid w:val="00125428"/>
    <w:rsid w:val="001256B0"/>
    <w:rsid w:val="00125FCA"/>
    <w:rsid w:val="00126022"/>
    <w:rsid w:val="001261A0"/>
    <w:rsid w:val="00132B0C"/>
    <w:rsid w:val="00132CEA"/>
    <w:rsid w:val="00133801"/>
    <w:rsid w:val="00133EA4"/>
    <w:rsid w:val="00134B79"/>
    <w:rsid w:val="0013545A"/>
    <w:rsid w:val="00135B76"/>
    <w:rsid w:val="00135EA7"/>
    <w:rsid w:val="00136724"/>
    <w:rsid w:val="00137DF0"/>
    <w:rsid w:val="00141F8B"/>
    <w:rsid w:val="001442FB"/>
    <w:rsid w:val="001460FB"/>
    <w:rsid w:val="00150A50"/>
    <w:rsid w:val="00150B00"/>
    <w:rsid w:val="00151FDE"/>
    <w:rsid w:val="001539D4"/>
    <w:rsid w:val="00156045"/>
    <w:rsid w:val="00156205"/>
    <w:rsid w:val="00157D8A"/>
    <w:rsid w:val="00157DD0"/>
    <w:rsid w:val="0016089C"/>
    <w:rsid w:val="00160AC1"/>
    <w:rsid w:val="0016267E"/>
    <w:rsid w:val="00162A99"/>
    <w:rsid w:val="00163BA8"/>
    <w:rsid w:val="00164969"/>
    <w:rsid w:val="00165B3F"/>
    <w:rsid w:val="00166377"/>
    <w:rsid w:val="00167346"/>
    <w:rsid w:val="001703C2"/>
    <w:rsid w:val="001728FD"/>
    <w:rsid w:val="00172A41"/>
    <w:rsid w:val="00172D3C"/>
    <w:rsid w:val="0017391B"/>
    <w:rsid w:val="001748A8"/>
    <w:rsid w:val="00175A92"/>
    <w:rsid w:val="00176F2C"/>
    <w:rsid w:val="0017730C"/>
    <w:rsid w:val="001776D0"/>
    <w:rsid w:val="00177987"/>
    <w:rsid w:val="00177DEF"/>
    <w:rsid w:val="00180218"/>
    <w:rsid w:val="00180753"/>
    <w:rsid w:val="00181247"/>
    <w:rsid w:val="00181253"/>
    <w:rsid w:val="00182A06"/>
    <w:rsid w:val="0018383F"/>
    <w:rsid w:val="00184182"/>
    <w:rsid w:val="00184AE8"/>
    <w:rsid w:val="00184B4B"/>
    <w:rsid w:val="00184CFB"/>
    <w:rsid w:val="00184F71"/>
    <w:rsid w:val="00186776"/>
    <w:rsid w:val="001876CD"/>
    <w:rsid w:val="00190078"/>
    <w:rsid w:val="00192527"/>
    <w:rsid w:val="00192E4D"/>
    <w:rsid w:val="00193AF0"/>
    <w:rsid w:val="0019437E"/>
    <w:rsid w:val="00194CDA"/>
    <w:rsid w:val="00194DE6"/>
    <w:rsid w:val="00197A7A"/>
    <w:rsid w:val="001A0074"/>
    <w:rsid w:val="001A0F7B"/>
    <w:rsid w:val="001A1131"/>
    <w:rsid w:val="001A226D"/>
    <w:rsid w:val="001A44BB"/>
    <w:rsid w:val="001A6644"/>
    <w:rsid w:val="001A6F04"/>
    <w:rsid w:val="001A6F81"/>
    <w:rsid w:val="001A7F28"/>
    <w:rsid w:val="001B0BA7"/>
    <w:rsid w:val="001B469C"/>
    <w:rsid w:val="001B5AF8"/>
    <w:rsid w:val="001B64F7"/>
    <w:rsid w:val="001B6520"/>
    <w:rsid w:val="001B6936"/>
    <w:rsid w:val="001B75E2"/>
    <w:rsid w:val="001B7DB9"/>
    <w:rsid w:val="001C203A"/>
    <w:rsid w:val="001C2692"/>
    <w:rsid w:val="001C3C19"/>
    <w:rsid w:val="001C4867"/>
    <w:rsid w:val="001C4EAB"/>
    <w:rsid w:val="001C516A"/>
    <w:rsid w:val="001C61C3"/>
    <w:rsid w:val="001C696A"/>
    <w:rsid w:val="001D0384"/>
    <w:rsid w:val="001D20E3"/>
    <w:rsid w:val="001D285F"/>
    <w:rsid w:val="001D5457"/>
    <w:rsid w:val="001D6AF5"/>
    <w:rsid w:val="001D6ECF"/>
    <w:rsid w:val="001D78ED"/>
    <w:rsid w:val="001E1072"/>
    <w:rsid w:val="001E2322"/>
    <w:rsid w:val="001E325A"/>
    <w:rsid w:val="001E3EA8"/>
    <w:rsid w:val="001E4C5B"/>
    <w:rsid w:val="001E551F"/>
    <w:rsid w:val="001E6E6E"/>
    <w:rsid w:val="001E763D"/>
    <w:rsid w:val="001E7D42"/>
    <w:rsid w:val="001F0B25"/>
    <w:rsid w:val="001F1BE7"/>
    <w:rsid w:val="001F2FC4"/>
    <w:rsid w:val="001F3C7D"/>
    <w:rsid w:val="001F68DE"/>
    <w:rsid w:val="001F753C"/>
    <w:rsid w:val="00204E13"/>
    <w:rsid w:val="00205644"/>
    <w:rsid w:val="00205CCE"/>
    <w:rsid w:val="00207A05"/>
    <w:rsid w:val="002116BD"/>
    <w:rsid w:val="00212E96"/>
    <w:rsid w:val="002137A1"/>
    <w:rsid w:val="00214170"/>
    <w:rsid w:val="00215FFC"/>
    <w:rsid w:val="00216A02"/>
    <w:rsid w:val="0021781D"/>
    <w:rsid w:val="00217B66"/>
    <w:rsid w:val="00217EA0"/>
    <w:rsid w:val="00220C8E"/>
    <w:rsid w:val="00221262"/>
    <w:rsid w:val="00221D81"/>
    <w:rsid w:val="00224031"/>
    <w:rsid w:val="00224741"/>
    <w:rsid w:val="002248BD"/>
    <w:rsid w:val="00224CD2"/>
    <w:rsid w:val="002266F1"/>
    <w:rsid w:val="00226B59"/>
    <w:rsid w:val="00230D6B"/>
    <w:rsid w:val="00230EF6"/>
    <w:rsid w:val="002311BD"/>
    <w:rsid w:val="002323D0"/>
    <w:rsid w:val="0023315D"/>
    <w:rsid w:val="00233524"/>
    <w:rsid w:val="00233956"/>
    <w:rsid w:val="002346CD"/>
    <w:rsid w:val="00236F35"/>
    <w:rsid w:val="00236F9D"/>
    <w:rsid w:val="002375B4"/>
    <w:rsid w:val="00240369"/>
    <w:rsid w:val="00240AEF"/>
    <w:rsid w:val="0024397D"/>
    <w:rsid w:val="00243BB2"/>
    <w:rsid w:val="00244EDB"/>
    <w:rsid w:val="0024534C"/>
    <w:rsid w:val="00247E65"/>
    <w:rsid w:val="0025080C"/>
    <w:rsid w:val="0025207C"/>
    <w:rsid w:val="00254774"/>
    <w:rsid w:val="0025577D"/>
    <w:rsid w:val="00255CB4"/>
    <w:rsid w:val="0025607E"/>
    <w:rsid w:val="00256481"/>
    <w:rsid w:val="00260080"/>
    <w:rsid w:val="00260770"/>
    <w:rsid w:val="00260E1E"/>
    <w:rsid w:val="00260F6E"/>
    <w:rsid w:val="00261EA3"/>
    <w:rsid w:val="00263CA8"/>
    <w:rsid w:val="002643F3"/>
    <w:rsid w:val="0026448F"/>
    <w:rsid w:val="002660BC"/>
    <w:rsid w:val="00267042"/>
    <w:rsid w:val="00267FE2"/>
    <w:rsid w:val="0027020F"/>
    <w:rsid w:val="002707F7"/>
    <w:rsid w:val="00270B46"/>
    <w:rsid w:val="002721FA"/>
    <w:rsid w:val="00272758"/>
    <w:rsid w:val="00272E1D"/>
    <w:rsid w:val="00275F5E"/>
    <w:rsid w:val="002764CB"/>
    <w:rsid w:val="0027673E"/>
    <w:rsid w:val="00277A52"/>
    <w:rsid w:val="00277D0B"/>
    <w:rsid w:val="00283CA8"/>
    <w:rsid w:val="002845D3"/>
    <w:rsid w:val="00284AD9"/>
    <w:rsid w:val="00284E5C"/>
    <w:rsid w:val="00285752"/>
    <w:rsid w:val="002905D8"/>
    <w:rsid w:val="00292ECE"/>
    <w:rsid w:val="002940C6"/>
    <w:rsid w:val="00294B1B"/>
    <w:rsid w:val="00294CA9"/>
    <w:rsid w:val="00295998"/>
    <w:rsid w:val="002969C3"/>
    <w:rsid w:val="002A2068"/>
    <w:rsid w:val="002A206F"/>
    <w:rsid w:val="002A2292"/>
    <w:rsid w:val="002A2980"/>
    <w:rsid w:val="002A33F3"/>
    <w:rsid w:val="002A4896"/>
    <w:rsid w:val="002A49B8"/>
    <w:rsid w:val="002A4D9A"/>
    <w:rsid w:val="002A4E8C"/>
    <w:rsid w:val="002A5179"/>
    <w:rsid w:val="002A57D8"/>
    <w:rsid w:val="002A5D07"/>
    <w:rsid w:val="002B260A"/>
    <w:rsid w:val="002B57CF"/>
    <w:rsid w:val="002B67A3"/>
    <w:rsid w:val="002C12CE"/>
    <w:rsid w:val="002C155C"/>
    <w:rsid w:val="002C2FAB"/>
    <w:rsid w:val="002C3395"/>
    <w:rsid w:val="002C4269"/>
    <w:rsid w:val="002C451D"/>
    <w:rsid w:val="002C547E"/>
    <w:rsid w:val="002C55DF"/>
    <w:rsid w:val="002C5F73"/>
    <w:rsid w:val="002D34A9"/>
    <w:rsid w:val="002D478C"/>
    <w:rsid w:val="002D77E3"/>
    <w:rsid w:val="002E04EA"/>
    <w:rsid w:val="002E2948"/>
    <w:rsid w:val="002E373E"/>
    <w:rsid w:val="002E4700"/>
    <w:rsid w:val="002E5E11"/>
    <w:rsid w:val="002E7287"/>
    <w:rsid w:val="002F00E3"/>
    <w:rsid w:val="002F0A95"/>
    <w:rsid w:val="002F2A9F"/>
    <w:rsid w:val="002F4183"/>
    <w:rsid w:val="002F475D"/>
    <w:rsid w:val="002F5272"/>
    <w:rsid w:val="002F664F"/>
    <w:rsid w:val="002F738B"/>
    <w:rsid w:val="002F7A63"/>
    <w:rsid w:val="003003C0"/>
    <w:rsid w:val="0030068B"/>
    <w:rsid w:val="00300855"/>
    <w:rsid w:val="00302737"/>
    <w:rsid w:val="00302A61"/>
    <w:rsid w:val="003045F6"/>
    <w:rsid w:val="00304D73"/>
    <w:rsid w:val="00305182"/>
    <w:rsid w:val="003056D6"/>
    <w:rsid w:val="0030598B"/>
    <w:rsid w:val="0030672D"/>
    <w:rsid w:val="00306E0A"/>
    <w:rsid w:val="00312C1B"/>
    <w:rsid w:val="00314B0B"/>
    <w:rsid w:val="00316098"/>
    <w:rsid w:val="00316631"/>
    <w:rsid w:val="00316EE5"/>
    <w:rsid w:val="003214A9"/>
    <w:rsid w:val="00321A46"/>
    <w:rsid w:val="0032477D"/>
    <w:rsid w:val="003262D2"/>
    <w:rsid w:val="00327329"/>
    <w:rsid w:val="00327499"/>
    <w:rsid w:val="00327DDD"/>
    <w:rsid w:val="0033058A"/>
    <w:rsid w:val="0033064E"/>
    <w:rsid w:val="00330AC7"/>
    <w:rsid w:val="003316A0"/>
    <w:rsid w:val="0033187D"/>
    <w:rsid w:val="0033195A"/>
    <w:rsid w:val="00332A82"/>
    <w:rsid w:val="00334122"/>
    <w:rsid w:val="003350EA"/>
    <w:rsid w:val="00335120"/>
    <w:rsid w:val="003371DB"/>
    <w:rsid w:val="0034130D"/>
    <w:rsid w:val="0034133C"/>
    <w:rsid w:val="003416A3"/>
    <w:rsid w:val="00341BA7"/>
    <w:rsid w:val="00342143"/>
    <w:rsid w:val="00342F57"/>
    <w:rsid w:val="0034477A"/>
    <w:rsid w:val="0034596B"/>
    <w:rsid w:val="00346C40"/>
    <w:rsid w:val="003504FE"/>
    <w:rsid w:val="00350A6A"/>
    <w:rsid w:val="00351DF3"/>
    <w:rsid w:val="003521B8"/>
    <w:rsid w:val="00352316"/>
    <w:rsid w:val="003543C9"/>
    <w:rsid w:val="00354514"/>
    <w:rsid w:val="003550DA"/>
    <w:rsid w:val="003558E7"/>
    <w:rsid w:val="00357C5C"/>
    <w:rsid w:val="00361CC3"/>
    <w:rsid w:val="00362BC6"/>
    <w:rsid w:val="003636A4"/>
    <w:rsid w:val="00365CE8"/>
    <w:rsid w:val="003679D9"/>
    <w:rsid w:val="00370741"/>
    <w:rsid w:val="0037146A"/>
    <w:rsid w:val="0037176A"/>
    <w:rsid w:val="00371907"/>
    <w:rsid w:val="00375479"/>
    <w:rsid w:val="0037664B"/>
    <w:rsid w:val="00380C4B"/>
    <w:rsid w:val="003814EF"/>
    <w:rsid w:val="00383080"/>
    <w:rsid w:val="00383267"/>
    <w:rsid w:val="00383DA8"/>
    <w:rsid w:val="00384469"/>
    <w:rsid w:val="003923B5"/>
    <w:rsid w:val="00392557"/>
    <w:rsid w:val="00393270"/>
    <w:rsid w:val="00393D1A"/>
    <w:rsid w:val="00394D6A"/>
    <w:rsid w:val="00394F4A"/>
    <w:rsid w:val="003958CF"/>
    <w:rsid w:val="00396613"/>
    <w:rsid w:val="003A05A0"/>
    <w:rsid w:val="003A05C5"/>
    <w:rsid w:val="003A13CA"/>
    <w:rsid w:val="003A1AEA"/>
    <w:rsid w:val="003A1F5A"/>
    <w:rsid w:val="003A231A"/>
    <w:rsid w:val="003A29AD"/>
    <w:rsid w:val="003A2CC8"/>
    <w:rsid w:val="003A3022"/>
    <w:rsid w:val="003A35A7"/>
    <w:rsid w:val="003A3BED"/>
    <w:rsid w:val="003A3DFE"/>
    <w:rsid w:val="003A415B"/>
    <w:rsid w:val="003A4B51"/>
    <w:rsid w:val="003A5721"/>
    <w:rsid w:val="003A5B2A"/>
    <w:rsid w:val="003A683D"/>
    <w:rsid w:val="003B2D3A"/>
    <w:rsid w:val="003B441D"/>
    <w:rsid w:val="003B47FF"/>
    <w:rsid w:val="003B60D4"/>
    <w:rsid w:val="003B66A4"/>
    <w:rsid w:val="003B7C61"/>
    <w:rsid w:val="003C0A70"/>
    <w:rsid w:val="003C0F81"/>
    <w:rsid w:val="003C0FDC"/>
    <w:rsid w:val="003C1628"/>
    <w:rsid w:val="003C2B1B"/>
    <w:rsid w:val="003C43EF"/>
    <w:rsid w:val="003C464D"/>
    <w:rsid w:val="003C4B53"/>
    <w:rsid w:val="003D20C4"/>
    <w:rsid w:val="003D4D5B"/>
    <w:rsid w:val="003D4F68"/>
    <w:rsid w:val="003D72A1"/>
    <w:rsid w:val="003D76CD"/>
    <w:rsid w:val="003E0F35"/>
    <w:rsid w:val="003E14A9"/>
    <w:rsid w:val="003E22CB"/>
    <w:rsid w:val="003E258F"/>
    <w:rsid w:val="003E3D8A"/>
    <w:rsid w:val="003E3F93"/>
    <w:rsid w:val="003E432A"/>
    <w:rsid w:val="003E44AF"/>
    <w:rsid w:val="003E4568"/>
    <w:rsid w:val="003E54B7"/>
    <w:rsid w:val="003E5FA0"/>
    <w:rsid w:val="003E60F8"/>
    <w:rsid w:val="003F0F13"/>
    <w:rsid w:val="003F5F7A"/>
    <w:rsid w:val="004000E2"/>
    <w:rsid w:val="00400274"/>
    <w:rsid w:val="00400B9A"/>
    <w:rsid w:val="00403D51"/>
    <w:rsid w:val="0040597B"/>
    <w:rsid w:val="0040778D"/>
    <w:rsid w:val="00413457"/>
    <w:rsid w:val="00413518"/>
    <w:rsid w:val="0041369A"/>
    <w:rsid w:val="00415254"/>
    <w:rsid w:val="0041625C"/>
    <w:rsid w:val="00416FB6"/>
    <w:rsid w:val="0041783B"/>
    <w:rsid w:val="0042286B"/>
    <w:rsid w:val="004259F8"/>
    <w:rsid w:val="0043271A"/>
    <w:rsid w:val="00432796"/>
    <w:rsid w:val="00432EB4"/>
    <w:rsid w:val="00432F29"/>
    <w:rsid w:val="00434057"/>
    <w:rsid w:val="004349D6"/>
    <w:rsid w:val="00435096"/>
    <w:rsid w:val="00435179"/>
    <w:rsid w:val="0044241B"/>
    <w:rsid w:val="0044261D"/>
    <w:rsid w:val="00443A29"/>
    <w:rsid w:val="004448CA"/>
    <w:rsid w:val="004468BC"/>
    <w:rsid w:val="00447517"/>
    <w:rsid w:val="00450760"/>
    <w:rsid w:val="00450FE7"/>
    <w:rsid w:val="00451AA9"/>
    <w:rsid w:val="00452EC7"/>
    <w:rsid w:val="00453175"/>
    <w:rsid w:val="00453780"/>
    <w:rsid w:val="0045398A"/>
    <w:rsid w:val="00455495"/>
    <w:rsid w:val="00455FD2"/>
    <w:rsid w:val="004609AB"/>
    <w:rsid w:val="00463CA5"/>
    <w:rsid w:val="00465117"/>
    <w:rsid w:val="0046519F"/>
    <w:rsid w:val="00465236"/>
    <w:rsid w:val="004657FC"/>
    <w:rsid w:val="0046678C"/>
    <w:rsid w:val="0046760B"/>
    <w:rsid w:val="004702B9"/>
    <w:rsid w:val="00470448"/>
    <w:rsid w:val="00470BB5"/>
    <w:rsid w:val="004718FE"/>
    <w:rsid w:val="00474B58"/>
    <w:rsid w:val="00474C83"/>
    <w:rsid w:val="00480DA8"/>
    <w:rsid w:val="004829FE"/>
    <w:rsid w:val="00483625"/>
    <w:rsid w:val="004854F8"/>
    <w:rsid w:val="0048572B"/>
    <w:rsid w:val="004871B3"/>
    <w:rsid w:val="00487807"/>
    <w:rsid w:val="00487944"/>
    <w:rsid w:val="00490153"/>
    <w:rsid w:val="00491266"/>
    <w:rsid w:val="004914A6"/>
    <w:rsid w:val="00492522"/>
    <w:rsid w:val="00492CAF"/>
    <w:rsid w:val="00494561"/>
    <w:rsid w:val="00495006"/>
    <w:rsid w:val="00495D87"/>
    <w:rsid w:val="00495F6A"/>
    <w:rsid w:val="00496E0E"/>
    <w:rsid w:val="004A07BF"/>
    <w:rsid w:val="004A1723"/>
    <w:rsid w:val="004A1D57"/>
    <w:rsid w:val="004A2462"/>
    <w:rsid w:val="004A2A46"/>
    <w:rsid w:val="004A5050"/>
    <w:rsid w:val="004A61B9"/>
    <w:rsid w:val="004A7384"/>
    <w:rsid w:val="004A7843"/>
    <w:rsid w:val="004A7DCF"/>
    <w:rsid w:val="004B247B"/>
    <w:rsid w:val="004B35BC"/>
    <w:rsid w:val="004B3E8D"/>
    <w:rsid w:val="004B50AE"/>
    <w:rsid w:val="004B5691"/>
    <w:rsid w:val="004B757F"/>
    <w:rsid w:val="004C0183"/>
    <w:rsid w:val="004C0761"/>
    <w:rsid w:val="004C125A"/>
    <w:rsid w:val="004C23A2"/>
    <w:rsid w:val="004C280F"/>
    <w:rsid w:val="004C468D"/>
    <w:rsid w:val="004C554B"/>
    <w:rsid w:val="004C5CFA"/>
    <w:rsid w:val="004C753E"/>
    <w:rsid w:val="004C7780"/>
    <w:rsid w:val="004C7E89"/>
    <w:rsid w:val="004D3AE0"/>
    <w:rsid w:val="004D5110"/>
    <w:rsid w:val="004D52DA"/>
    <w:rsid w:val="004E06E9"/>
    <w:rsid w:val="004E0FAB"/>
    <w:rsid w:val="004E2C11"/>
    <w:rsid w:val="004E2E25"/>
    <w:rsid w:val="004E5ADD"/>
    <w:rsid w:val="004E78FE"/>
    <w:rsid w:val="004E7D05"/>
    <w:rsid w:val="004F07E5"/>
    <w:rsid w:val="004F0D4F"/>
    <w:rsid w:val="004F0F57"/>
    <w:rsid w:val="004F2470"/>
    <w:rsid w:val="004F2D29"/>
    <w:rsid w:val="004F38B8"/>
    <w:rsid w:val="004F3C75"/>
    <w:rsid w:val="004F680F"/>
    <w:rsid w:val="004F7A38"/>
    <w:rsid w:val="0050137C"/>
    <w:rsid w:val="00502117"/>
    <w:rsid w:val="005038F5"/>
    <w:rsid w:val="00503E6D"/>
    <w:rsid w:val="00503EE0"/>
    <w:rsid w:val="00504EE0"/>
    <w:rsid w:val="0050535B"/>
    <w:rsid w:val="00505EB1"/>
    <w:rsid w:val="00506046"/>
    <w:rsid w:val="005074B6"/>
    <w:rsid w:val="005104BB"/>
    <w:rsid w:val="00511841"/>
    <w:rsid w:val="00511A6D"/>
    <w:rsid w:val="00514468"/>
    <w:rsid w:val="00515ECB"/>
    <w:rsid w:val="00520331"/>
    <w:rsid w:val="00521B6A"/>
    <w:rsid w:val="0052234D"/>
    <w:rsid w:val="00522DB5"/>
    <w:rsid w:val="005231CD"/>
    <w:rsid w:val="00523217"/>
    <w:rsid w:val="0052542B"/>
    <w:rsid w:val="00526159"/>
    <w:rsid w:val="00527D19"/>
    <w:rsid w:val="00530312"/>
    <w:rsid w:val="00530783"/>
    <w:rsid w:val="00534D2C"/>
    <w:rsid w:val="00536B89"/>
    <w:rsid w:val="00536CE1"/>
    <w:rsid w:val="00537533"/>
    <w:rsid w:val="005401AF"/>
    <w:rsid w:val="00540586"/>
    <w:rsid w:val="005417CD"/>
    <w:rsid w:val="00541E39"/>
    <w:rsid w:val="00542D7E"/>
    <w:rsid w:val="00543389"/>
    <w:rsid w:val="005438C6"/>
    <w:rsid w:val="00551421"/>
    <w:rsid w:val="005535E3"/>
    <w:rsid w:val="00554930"/>
    <w:rsid w:val="00554CC3"/>
    <w:rsid w:val="005552B5"/>
    <w:rsid w:val="00556658"/>
    <w:rsid w:val="00556A53"/>
    <w:rsid w:val="005578DD"/>
    <w:rsid w:val="00557BF4"/>
    <w:rsid w:val="005607C4"/>
    <w:rsid w:val="00560DD5"/>
    <w:rsid w:val="00562454"/>
    <w:rsid w:val="0056434A"/>
    <w:rsid w:val="005660B4"/>
    <w:rsid w:val="0056695E"/>
    <w:rsid w:val="00566C96"/>
    <w:rsid w:val="00570790"/>
    <w:rsid w:val="005720BF"/>
    <w:rsid w:val="00572D8A"/>
    <w:rsid w:val="00572E71"/>
    <w:rsid w:val="005736E3"/>
    <w:rsid w:val="00575829"/>
    <w:rsid w:val="00576C00"/>
    <w:rsid w:val="005803CD"/>
    <w:rsid w:val="00580B63"/>
    <w:rsid w:val="005816FC"/>
    <w:rsid w:val="00581869"/>
    <w:rsid w:val="00583B84"/>
    <w:rsid w:val="00583D2D"/>
    <w:rsid w:val="0058430F"/>
    <w:rsid w:val="00584916"/>
    <w:rsid w:val="00584C2C"/>
    <w:rsid w:val="005856C6"/>
    <w:rsid w:val="005861B6"/>
    <w:rsid w:val="00586608"/>
    <w:rsid w:val="00587CD5"/>
    <w:rsid w:val="00593262"/>
    <w:rsid w:val="005943CB"/>
    <w:rsid w:val="00594456"/>
    <w:rsid w:val="00594D9A"/>
    <w:rsid w:val="005967C6"/>
    <w:rsid w:val="005A031D"/>
    <w:rsid w:val="005A06D4"/>
    <w:rsid w:val="005A160A"/>
    <w:rsid w:val="005A185B"/>
    <w:rsid w:val="005A2798"/>
    <w:rsid w:val="005A3617"/>
    <w:rsid w:val="005A384F"/>
    <w:rsid w:val="005A56A4"/>
    <w:rsid w:val="005A6341"/>
    <w:rsid w:val="005A6511"/>
    <w:rsid w:val="005A6EB7"/>
    <w:rsid w:val="005A7B5B"/>
    <w:rsid w:val="005B1537"/>
    <w:rsid w:val="005B3518"/>
    <w:rsid w:val="005B41CA"/>
    <w:rsid w:val="005B4429"/>
    <w:rsid w:val="005B71FB"/>
    <w:rsid w:val="005B7D49"/>
    <w:rsid w:val="005C1A32"/>
    <w:rsid w:val="005C1B2E"/>
    <w:rsid w:val="005C236A"/>
    <w:rsid w:val="005C2DDC"/>
    <w:rsid w:val="005C52A4"/>
    <w:rsid w:val="005D0D3F"/>
    <w:rsid w:val="005D0FEB"/>
    <w:rsid w:val="005D112C"/>
    <w:rsid w:val="005D1834"/>
    <w:rsid w:val="005D28B7"/>
    <w:rsid w:val="005D52FB"/>
    <w:rsid w:val="005D53B6"/>
    <w:rsid w:val="005D6411"/>
    <w:rsid w:val="005D6D7E"/>
    <w:rsid w:val="005D725E"/>
    <w:rsid w:val="005E5820"/>
    <w:rsid w:val="005E624A"/>
    <w:rsid w:val="005E6622"/>
    <w:rsid w:val="005E7F95"/>
    <w:rsid w:val="005F13D3"/>
    <w:rsid w:val="005F324E"/>
    <w:rsid w:val="005F4B6C"/>
    <w:rsid w:val="005F4E97"/>
    <w:rsid w:val="005F6C30"/>
    <w:rsid w:val="005F6F31"/>
    <w:rsid w:val="005F72BF"/>
    <w:rsid w:val="005F7D60"/>
    <w:rsid w:val="00600B47"/>
    <w:rsid w:val="00600D15"/>
    <w:rsid w:val="0060158B"/>
    <w:rsid w:val="00601936"/>
    <w:rsid w:val="00601C4F"/>
    <w:rsid w:val="0060228B"/>
    <w:rsid w:val="0060236A"/>
    <w:rsid w:val="00604858"/>
    <w:rsid w:val="006050EE"/>
    <w:rsid w:val="006051A3"/>
    <w:rsid w:val="006053DE"/>
    <w:rsid w:val="00605D9E"/>
    <w:rsid w:val="0060618D"/>
    <w:rsid w:val="00611099"/>
    <w:rsid w:val="00612499"/>
    <w:rsid w:val="0061254A"/>
    <w:rsid w:val="00612D8D"/>
    <w:rsid w:val="00614724"/>
    <w:rsid w:val="00615EB2"/>
    <w:rsid w:val="00616684"/>
    <w:rsid w:val="0061704B"/>
    <w:rsid w:val="00617974"/>
    <w:rsid w:val="006206BB"/>
    <w:rsid w:val="006211BC"/>
    <w:rsid w:val="006222B0"/>
    <w:rsid w:val="00622F8D"/>
    <w:rsid w:val="00624399"/>
    <w:rsid w:val="006250FB"/>
    <w:rsid w:val="00626214"/>
    <w:rsid w:val="00626273"/>
    <w:rsid w:val="00626E96"/>
    <w:rsid w:val="006278C0"/>
    <w:rsid w:val="00630290"/>
    <w:rsid w:val="00631E30"/>
    <w:rsid w:val="00633253"/>
    <w:rsid w:val="00633A93"/>
    <w:rsid w:val="006343B2"/>
    <w:rsid w:val="00634978"/>
    <w:rsid w:val="00634F83"/>
    <w:rsid w:val="00635656"/>
    <w:rsid w:val="00635C86"/>
    <w:rsid w:val="00637636"/>
    <w:rsid w:val="00640D75"/>
    <w:rsid w:val="00644A8B"/>
    <w:rsid w:val="00645F1F"/>
    <w:rsid w:val="00647D86"/>
    <w:rsid w:val="00652006"/>
    <w:rsid w:val="0065246C"/>
    <w:rsid w:val="00654D27"/>
    <w:rsid w:val="0065549B"/>
    <w:rsid w:val="00656AF3"/>
    <w:rsid w:val="006637A3"/>
    <w:rsid w:val="006651FC"/>
    <w:rsid w:val="00665241"/>
    <w:rsid w:val="00665277"/>
    <w:rsid w:val="006655A4"/>
    <w:rsid w:val="006664DF"/>
    <w:rsid w:val="00667667"/>
    <w:rsid w:val="00667719"/>
    <w:rsid w:val="00671C60"/>
    <w:rsid w:val="00672E7A"/>
    <w:rsid w:val="006736ED"/>
    <w:rsid w:val="00673DC6"/>
    <w:rsid w:val="00674C23"/>
    <w:rsid w:val="00675241"/>
    <w:rsid w:val="00676FF0"/>
    <w:rsid w:val="00677C85"/>
    <w:rsid w:val="00680748"/>
    <w:rsid w:val="00680AF7"/>
    <w:rsid w:val="006817C2"/>
    <w:rsid w:val="00681CD4"/>
    <w:rsid w:val="0068211C"/>
    <w:rsid w:val="006827E4"/>
    <w:rsid w:val="00684BBD"/>
    <w:rsid w:val="006851AB"/>
    <w:rsid w:val="006867F9"/>
    <w:rsid w:val="00686948"/>
    <w:rsid w:val="00691CC4"/>
    <w:rsid w:val="0069273F"/>
    <w:rsid w:val="00693BED"/>
    <w:rsid w:val="006942F4"/>
    <w:rsid w:val="006950B9"/>
    <w:rsid w:val="00695779"/>
    <w:rsid w:val="00695965"/>
    <w:rsid w:val="006960B5"/>
    <w:rsid w:val="006A1B9F"/>
    <w:rsid w:val="006A3251"/>
    <w:rsid w:val="006A3E2C"/>
    <w:rsid w:val="006A3F90"/>
    <w:rsid w:val="006A4F3E"/>
    <w:rsid w:val="006A4FFB"/>
    <w:rsid w:val="006A5CF6"/>
    <w:rsid w:val="006A7B8B"/>
    <w:rsid w:val="006B04CE"/>
    <w:rsid w:val="006B17E1"/>
    <w:rsid w:val="006B3540"/>
    <w:rsid w:val="006B4C68"/>
    <w:rsid w:val="006B53E2"/>
    <w:rsid w:val="006B5478"/>
    <w:rsid w:val="006B64B3"/>
    <w:rsid w:val="006C0080"/>
    <w:rsid w:val="006C1C1B"/>
    <w:rsid w:val="006C1DD6"/>
    <w:rsid w:val="006C346C"/>
    <w:rsid w:val="006C3518"/>
    <w:rsid w:val="006C3FD7"/>
    <w:rsid w:val="006C44E9"/>
    <w:rsid w:val="006C4C77"/>
    <w:rsid w:val="006C7539"/>
    <w:rsid w:val="006C7D23"/>
    <w:rsid w:val="006D1BF1"/>
    <w:rsid w:val="006D34BA"/>
    <w:rsid w:val="006D3FDB"/>
    <w:rsid w:val="006D4845"/>
    <w:rsid w:val="006D658C"/>
    <w:rsid w:val="006D77EE"/>
    <w:rsid w:val="006E25C5"/>
    <w:rsid w:val="006E282A"/>
    <w:rsid w:val="006E3482"/>
    <w:rsid w:val="006E4DEC"/>
    <w:rsid w:val="006E59B8"/>
    <w:rsid w:val="006E5F96"/>
    <w:rsid w:val="006E6627"/>
    <w:rsid w:val="006E67EA"/>
    <w:rsid w:val="006F0A51"/>
    <w:rsid w:val="006F2050"/>
    <w:rsid w:val="006F255E"/>
    <w:rsid w:val="006F354E"/>
    <w:rsid w:val="006F3D64"/>
    <w:rsid w:val="006F4968"/>
    <w:rsid w:val="006F5D4E"/>
    <w:rsid w:val="006F647A"/>
    <w:rsid w:val="006F746C"/>
    <w:rsid w:val="006F7A4C"/>
    <w:rsid w:val="00700561"/>
    <w:rsid w:val="00700B1B"/>
    <w:rsid w:val="00700BA1"/>
    <w:rsid w:val="00702AC5"/>
    <w:rsid w:val="007045E2"/>
    <w:rsid w:val="00704FE4"/>
    <w:rsid w:val="00705DFE"/>
    <w:rsid w:val="007117C0"/>
    <w:rsid w:val="00713DB8"/>
    <w:rsid w:val="00715B36"/>
    <w:rsid w:val="007164AA"/>
    <w:rsid w:val="007172F1"/>
    <w:rsid w:val="00720386"/>
    <w:rsid w:val="00720AF1"/>
    <w:rsid w:val="00720EDD"/>
    <w:rsid w:val="0072118D"/>
    <w:rsid w:val="00721618"/>
    <w:rsid w:val="00721B86"/>
    <w:rsid w:val="00721F36"/>
    <w:rsid w:val="00722326"/>
    <w:rsid w:val="00722B5D"/>
    <w:rsid w:val="00725EA1"/>
    <w:rsid w:val="00726A4A"/>
    <w:rsid w:val="007333B9"/>
    <w:rsid w:val="0073427D"/>
    <w:rsid w:val="0073540A"/>
    <w:rsid w:val="007412C3"/>
    <w:rsid w:val="0074344B"/>
    <w:rsid w:val="00743CA8"/>
    <w:rsid w:val="007444F7"/>
    <w:rsid w:val="00745E9A"/>
    <w:rsid w:val="0075079F"/>
    <w:rsid w:val="00750EA1"/>
    <w:rsid w:val="00752484"/>
    <w:rsid w:val="007575E9"/>
    <w:rsid w:val="007577DC"/>
    <w:rsid w:val="0076214F"/>
    <w:rsid w:val="00764377"/>
    <w:rsid w:val="007649B9"/>
    <w:rsid w:val="00765FC2"/>
    <w:rsid w:val="00770B75"/>
    <w:rsid w:val="00771668"/>
    <w:rsid w:val="007724C7"/>
    <w:rsid w:val="00772BE1"/>
    <w:rsid w:val="007730F1"/>
    <w:rsid w:val="007731CB"/>
    <w:rsid w:val="007737B6"/>
    <w:rsid w:val="00774AF0"/>
    <w:rsid w:val="00774F22"/>
    <w:rsid w:val="00782307"/>
    <w:rsid w:val="00782F74"/>
    <w:rsid w:val="00783551"/>
    <w:rsid w:val="00784F23"/>
    <w:rsid w:val="007851FC"/>
    <w:rsid w:val="0078560A"/>
    <w:rsid w:val="00785BF8"/>
    <w:rsid w:val="00787012"/>
    <w:rsid w:val="00787544"/>
    <w:rsid w:val="00790CB6"/>
    <w:rsid w:val="00791DCE"/>
    <w:rsid w:val="0079226E"/>
    <w:rsid w:val="00793C28"/>
    <w:rsid w:val="00794935"/>
    <w:rsid w:val="00795A66"/>
    <w:rsid w:val="00796B5E"/>
    <w:rsid w:val="007A05ED"/>
    <w:rsid w:val="007A15DB"/>
    <w:rsid w:val="007A45CE"/>
    <w:rsid w:val="007A55B0"/>
    <w:rsid w:val="007A6A94"/>
    <w:rsid w:val="007A6C54"/>
    <w:rsid w:val="007A6E48"/>
    <w:rsid w:val="007A705F"/>
    <w:rsid w:val="007B0DDC"/>
    <w:rsid w:val="007B11DD"/>
    <w:rsid w:val="007B133C"/>
    <w:rsid w:val="007B2073"/>
    <w:rsid w:val="007B24CD"/>
    <w:rsid w:val="007B262D"/>
    <w:rsid w:val="007B5415"/>
    <w:rsid w:val="007C0902"/>
    <w:rsid w:val="007C0E6F"/>
    <w:rsid w:val="007C1F3E"/>
    <w:rsid w:val="007C2B34"/>
    <w:rsid w:val="007C3890"/>
    <w:rsid w:val="007C3E50"/>
    <w:rsid w:val="007C3F92"/>
    <w:rsid w:val="007C62EF"/>
    <w:rsid w:val="007C709C"/>
    <w:rsid w:val="007D0172"/>
    <w:rsid w:val="007D0449"/>
    <w:rsid w:val="007D0F81"/>
    <w:rsid w:val="007D1BA4"/>
    <w:rsid w:val="007D2AAE"/>
    <w:rsid w:val="007D407D"/>
    <w:rsid w:val="007D4512"/>
    <w:rsid w:val="007D670D"/>
    <w:rsid w:val="007D7A92"/>
    <w:rsid w:val="007D7EA9"/>
    <w:rsid w:val="007E06DB"/>
    <w:rsid w:val="007E3C8A"/>
    <w:rsid w:val="007E3F10"/>
    <w:rsid w:val="007E7D06"/>
    <w:rsid w:val="007F0B07"/>
    <w:rsid w:val="007F0D98"/>
    <w:rsid w:val="007F1CE6"/>
    <w:rsid w:val="007F2E0A"/>
    <w:rsid w:val="007F4762"/>
    <w:rsid w:val="007F47D9"/>
    <w:rsid w:val="007F7C1B"/>
    <w:rsid w:val="007F7C6E"/>
    <w:rsid w:val="007F7CEF"/>
    <w:rsid w:val="00800C2E"/>
    <w:rsid w:val="00802DDE"/>
    <w:rsid w:val="008032DD"/>
    <w:rsid w:val="0080435B"/>
    <w:rsid w:val="008052B0"/>
    <w:rsid w:val="00805D85"/>
    <w:rsid w:val="00806546"/>
    <w:rsid w:val="00807513"/>
    <w:rsid w:val="00810DB9"/>
    <w:rsid w:val="008138BD"/>
    <w:rsid w:val="00813FDE"/>
    <w:rsid w:val="008147E7"/>
    <w:rsid w:val="00814A8E"/>
    <w:rsid w:val="00815E6F"/>
    <w:rsid w:val="00817315"/>
    <w:rsid w:val="0082146C"/>
    <w:rsid w:val="008217FB"/>
    <w:rsid w:val="00821E01"/>
    <w:rsid w:val="008225C9"/>
    <w:rsid w:val="00822631"/>
    <w:rsid w:val="008234B0"/>
    <w:rsid w:val="00824CBF"/>
    <w:rsid w:val="00826653"/>
    <w:rsid w:val="00827DE9"/>
    <w:rsid w:val="008351EE"/>
    <w:rsid w:val="00836007"/>
    <w:rsid w:val="00841729"/>
    <w:rsid w:val="00841AD3"/>
    <w:rsid w:val="008425D0"/>
    <w:rsid w:val="0084334C"/>
    <w:rsid w:val="00843642"/>
    <w:rsid w:val="00843E58"/>
    <w:rsid w:val="0084478E"/>
    <w:rsid w:val="00844A61"/>
    <w:rsid w:val="00850C1C"/>
    <w:rsid w:val="00851368"/>
    <w:rsid w:val="00851AD2"/>
    <w:rsid w:val="00852869"/>
    <w:rsid w:val="00854867"/>
    <w:rsid w:val="00856274"/>
    <w:rsid w:val="00856290"/>
    <w:rsid w:val="00856558"/>
    <w:rsid w:val="00856DB6"/>
    <w:rsid w:val="008572F7"/>
    <w:rsid w:val="008573DE"/>
    <w:rsid w:val="00857F56"/>
    <w:rsid w:val="0086024D"/>
    <w:rsid w:val="00860487"/>
    <w:rsid w:val="008606E9"/>
    <w:rsid w:val="008613B8"/>
    <w:rsid w:val="0086339E"/>
    <w:rsid w:val="00864921"/>
    <w:rsid w:val="0086664F"/>
    <w:rsid w:val="00866BFC"/>
    <w:rsid w:val="0086736A"/>
    <w:rsid w:val="008674B6"/>
    <w:rsid w:val="008676F3"/>
    <w:rsid w:val="00871F8E"/>
    <w:rsid w:val="00872276"/>
    <w:rsid w:val="00872E44"/>
    <w:rsid w:val="00873017"/>
    <w:rsid w:val="00873F89"/>
    <w:rsid w:val="00876268"/>
    <w:rsid w:val="008767E4"/>
    <w:rsid w:val="0087683D"/>
    <w:rsid w:val="00877121"/>
    <w:rsid w:val="00881271"/>
    <w:rsid w:val="00881B97"/>
    <w:rsid w:val="00882C99"/>
    <w:rsid w:val="00883945"/>
    <w:rsid w:val="008871BE"/>
    <w:rsid w:val="00887F56"/>
    <w:rsid w:val="008909A1"/>
    <w:rsid w:val="00890DB2"/>
    <w:rsid w:val="0089240C"/>
    <w:rsid w:val="00892B7E"/>
    <w:rsid w:val="00892D09"/>
    <w:rsid w:val="00895AF0"/>
    <w:rsid w:val="00895C97"/>
    <w:rsid w:val="0089639D"/>
    <w:rsid w:val="00896D79"/>
    <w:rsid w:val="00897D59"/>
    <w:rsid w:val="008A005F"/>
    <w:rsid w:val="008A159B"/>
    <w:rsid w:val="008A1B54"/>
    <w:rsid w:val="008A401F"/>
    <w:rsid w:val="008A496E"/>
    <w:rsid w:val="008A689A"/>
    <w:rsid w:val="008A6E06"/>
    <w:rsid w:val="008B2D5E"/>
    <w:rsid w:val="008B37DF"/>
    <w:rsid w:val="008B564C"/>
    <w:rsid w:val="008B6AC5"/>
    <w:rsid w:val="008B7F12"/>
    <w:rsid w:val="008C0CA6"/>
    <w:rsid w:val="008C0E21"/>
    <w:rsid w:val="008C19D0"/>
    <w:rsid w:val="008C1CF8"/>
    <w:rsid w:val="008C1F4A"/>
    <w:rsid w:val="008C2A67"/>
    <w:rsid w:val="008C3587"/>
    <w:rsid w:val="008C45E1"/>
    <w:rsid w:val="008D11E6"/>
    <w:rsid w:val="008D2D6C"/>
    <w:rsid w:val="008D3839"/>
    <w:rsid w:val="008D4015"/>
    <w:rsid w:val="008D4571"/>
    <w:rsid w:val="008D4DCD"/>
    <w:rsid w:val="008D4E10"/>
    <w:rsid w:val="008D5677"/>
    <w:rsid w:val="008D6489"/>
    <w:rsid w:val="008D7010"/>
    <w:rsid w:val="008D7F12"/>
    <w:rsid w:val="008E0238"/>
    <w:rsid w:val="008E1598"/>
    <w:rsid w:val="008E166F"/>
    <w:rsid w:val="008E2E1C"/>
    <w:rsid w:val="008E3695"/>
    <w:rsid w:val="008E3E58"/>
    <w:rsid w:val="008E4093"/>
    <w:rsid w:val="008E4468"/>
    <w:rsid w:val="008E4DEC"/>
    <w:rsid w:val="008E4F2B"/>
    <w:rsid w:val="008E55AE"/>
    <w:rsid w:val="008E663F"/>
    <w:rsid w:val="008E67CE"/>
    <w:rsid w:val="008E6929"/>
    <w:rsid w:val="008E69BF"/>
    <w:rsid w:val="008E7DE7"/>
    <w:rsid w:val="008F0ABB"/>
    <w:rsid w:val="008F1EF5"/>
    <w:rsid w:val="008F356B"/>
    <w:rsid w:val="008F38C7"/>
    <w:rsid w:val="008F3C4D"/>
    <w:rsid w:val="008F760B"/>
    <w:rsid w:val="00900C1A"/>
    <w:rsid w:val="00901D10"/>
    <w:rsid w:val="00902A98"/>
    <w:rsid w:val="009032EB"/>
    <w:rsid w:val="009041C1"/>
    <w:rsid w:val="009052FB"/>
    <w:rsid w:val="00905804"/>
    <w:rsid w:val="009070F0"/>
    <w:rsid w:val="00910F15"/>
    <w:rsid w:val="0091372C"/>
    <w:rsid w:val="0091565C"/>
    <w:rsid w:val="00915A66"/>
    <w:rsid w:val="00915D04"/>
    <w:rsid w:val="00915EEF"/>
    <w:rsid w:val="009170F7"/>
    <w:rsid w:val="00920686"/>
    <w:rsid w:val="00921681"/>
    <w:rsid w:val="00921962"/>
    <w:rsid w:val="00922425"/>
    <w:rsid w:val="00926242"/>
    <w:rsid w:val="009273EC"/>
    <w:rsid w:val="00931305"/>
    <w:rsid w:val="00931A6A"/>
    <w:rsid w:val="009320FA"/>
    <w:rsid w:val="009347AE"/>
    <w:rsid w:val="00934B2D"/>
    <w:rsid w:val="009367E2"/>
    <w:rsid w:val="0093722E"/>
    <w:rsid w:val="00937F69"/>
    <w:rsid w:val="0094223C"/>
    <w:rsid w:val="00942F2E"/>
    <w:rsid w:val="00944F98"/>
    <w:rsid w:val="00945544"/>
    <w:rsid w:val="00945A9B"/>
    <w:rsid w:val="00945C87"/>
    <w:rsid w:val="009507EE"/>
    <w:rsid w:val="009509E9"/>
    <w:rsid w:val="00950C03"/>
    <w:rsid w:val="00951854"/>
    <w:rsid w:val="00951EEA"/>
    <w:rsid w:val="009523EE"/>
    <w:rsid w:val="009525E5"/>
    <w:rsid w:val="00952A72"/>
    <w:rsid w:val="00955FBB"/>
    <w:rsid w:val="00956692"/>
    <w:rsid w:val="00957DF4"/>
    <w:rsid w:val="00960C1E"/>
    <w:rsid w:val="00960E2D"/>
    <w:rsid w:val="009623C7"/>
    <w:rsid w:val="00964535"/>
    <w:rsid w:val="00966717"/>
    <w:rsid w:val="009672A3"/>
    <w:rsid w:val="009704E5"/>
    <w:rsid w:val="009707C5"/>
    <w:rsid w:val="00970E29"/>
    <w:rsid w:val="009735E6"/>
    <w:rsid w:val="0097365F"/>
    <w:rsid w:val="00973B58"/>
    <w:rsid w:val="00973DB7"/>
    <w:rsid w:val="009745FE"/>
    <w:rsid w:val="00975B3E"/>
    <w:rsid w:val="00975EE0"/>
    <w:rsid w:val="00976110"/>
    <w:rsid w:val="00977A94"/>
    <w:rsid w:val="009813A9"/>
    <w:rsid w:val="009815CD"/>
    <w:rsid w:val="00981EAD"/>
    <w:rsid w:val="00981EBA"/>
    <w:rsid w:val="0098301A"/>
    <w:rsid w:val="0098781B"/>
    <w:rsid w:val="0099006D"/>
    <w:rsid w:val="00994DDF"/>
    <w:rsid w:val="00994EB9"/>
    <w:rsid w:val="00995920"/>
    <w:rsid w:val="00996B5E"/>
    <w:rsid w:val="00996E99"/>
    <w:rsid w:val="009A0B91"/>
    <w:rsid w:val="009A2576"/>
    <w:rsid w:val="009A2FD9"/>
    <w:rsid w:val="009A38B6"/>
    <w:rsid w:val="009A4D13"/>
    <w:rsid w:val="009A59F3"/>
    <w:rsid w:val="009A63B9"/>
    <w:rsid w:val="009A68A0"/>
    <w:rsid w:val="009B202B"/>
    <w:rsid w:val="009B2D51"/>
    <w:rsid w:val="009B3B58"/>
    <w:rsid w:val="009B3C01"/>
    <w:rsid w:val="009B42BB"/>
    <w:rsid w:val="009B4A40"/>
    <w:rsid w:val="009B5E8F"/>
    <w:rsid w:val="009B6C74"/>
    <w:rsid w:val="009B73F1"/>
    <w:rsid w:val="009C2327"/>
    <w:rsid w:val="009C5181"/>
    <w:rsid w:val="009C6626"/>
    <w:rsid w:val="009C72D3"/>
    <w:rsid w:val="009C7430"/>
    <w:rsid w:val="009D05DF"/>
    <w:rsid w:val="009D1AE9"/>
    <w:rsid w:val="009D2206"/>
    <w:rsid w:val="009D325B"/>
    <w:rsid w:val="009D36DA"/>
    <w:rsid w:val="009D3BAC"/>
    <w:rsid w:val="009D4FE9"/>
    <w:rsid w:val="009D594F"/>
    <w:rsid w:val="009D624F"/>
    <w:rsid w:val="009D694A"/>
    <w:rsid w:val="009E0C7F"/>
    <w:rsid w:val="009E1997"/>
    <w:rsid w:val="009E4092"/>
    <w:rsid w:val="009E65DD"/>
    <w:rsid w:val="009F1D78"/>
    <w:rsid w:val="009F2DBE"/>
    <w:rsid w:val="009F360C"/>
    <w:rsid w:val="009F3CD6"/>
    <w:rsid w:val="009F3D34"/>
    <w:rsid w:val="009F5289"/>
    <w:rsid w:val="009F5514"/>
    <w:rsid w:val="009F665C"/>
    <w:rsid w:val="009F7ECF"/>
    <w:rsid w:val="00A0023F"/>
    <w:rsid w:val="00A015E5"/>
    <w:rsid w:val="00A01D56"/>
    <w:rsid w:val="00A040C3"/>
    <w:rsid w:val="00A06651"/>
    <w:rsid w:val="00A07979"/>
    <w:rsid w:val="00A11AAE"/>
    <w:rsid w:val="00A11F5B"/>
    <w:rsid w:val="00A12814"/>
    <w:rsid w:val="00A12E1E"/>
    <w:rsid w:val="00A12FDA"/>
    <w:rsid w:val="00A13688"/>
    <w:rsid w:val="00A1423C"/>
    <w:rsid w:val="00A14908"/>
    <w:rsid w:val="00A14B51"/>
    <w:rsid w:val="00A16052"/>
    <w:rsid w:val="00A17413"/>
    <w:rsid w:val="00A20C39"/>
    <w:rsid w:val="00A2102A"/>
    <w:rsid w:val="00A21160"/>
    <w:rsid w:val="00A216AA"/>
    <w:rsid w:val="00A2183E"/>
    <w:rsid w:val="00A2308A"/>
    <w:rsid w:val="00A236E1"/>
    <w:rsid w:val="00A253DC"/>
    <w:rsid w:val="00A25BCB"/>
    <w:rsid w:val="00A265CE"/>
    <w:rsid w:val="00A30A91"/>
    <w:rsid w:val="00A3295F"/>
    <w:rsid w:val="00A33D1E"/>
    <w:rsid w:val="00A34C6F"/>
    <w:rsid w:val="00A34D46"/>
    <w:rsid w:val="00A35654"/>
    <w:rsid w:val="00A35DC2"/>
    <w:rsid w:val="00A369A6"/>
    <w:rsid w:val="00A373F4"/>
    <w:rsid w:val="00A40368"/>
    <w:rsid w:val="00A40B7C"/>
    <w:rsid w:val="00A42A24"/>
    <w:rsid w:val="00A42C4C"/>
    <w:rsid w:val="00A43EB7"/>
    <w:rsid w:val="00A44FDC"/>
    <w:rsid w:val="00A44FEF"/>
    <w:rsid w:val="00A45FEF"/>
    <w:rsid w:val="00A464AC"/>
    <w:rsid w:val="00A472D6"/>
    <w:rsid w:val="00A5008B"/>
    <w:rsid w:val="00A5112F"/>
    <w:rsid w:val="00A5173B"/>
    <w:rsid w:val="00A51B24"/>
    <w:rsid w:val="00A52A81"/>
    <w:rsid w:val="00A53367"/>
    <w:rsid w:val="00A56195"/>
    <w:rsid w:val="00A56364"/>
    <w:rsid w:val="00A60422"/>
    <w:rsid w:val="00A618EF"/>
    <w:rsid w:val="00A64045"/>
    <w:rsid w:val="00A640E4"/>
    <w:rsid w:val="00A64DFC"/>
    <w:rsid w:val="00A6622C"/>
    <w:rsid w:val="00A7110F"/>
    <w:rsid w:val="00A7382F"/>
    <w:rsid w:val="00A73B8C"/>
    <w:rsid w:val="00A74286"/>
    <w:rsid w:val="00A75277"/>
    <w:rsid w:val="00A752FE"/>
    <w:rsid w:val="00A76527"/>
    <w:rsid w:val="00A810AB"/>
    <w:rsid w:val="00A812B5"/>
    <w:rsid w:val="00A82FE0"/>
    <w:rsid w:val="00A837B1"/>
    <w:rsid w:val="00A8431B"/>
    <w:rsid w:val="00A8482E"/>
    <w:rsid w:val="00A84C96"/>
    <w:rsid w:val="00A84F27"/>
    <w:rsid w:val="00A86D92"/>
    <w:rsid w:val="00A86DF5"/>
    <w:rsid w:val="00A87560"/>
    <w:rsid w:val="00A90D09"/>
    <w:rsid w:val="00A91ABA"/>
    <w:rsid w:val="00A91BE5"/>
    <w:rsid w:val="00A920A8"/>
    <w:rsid w:val="00A93534"/>
    <w:rsid w:val="00A94A83"/>
    <w:rsid w:val="00A9535D"/>
    <w:rsid w:val="00A97002"/>
    <w:rsid w:val="00A97A29"/>
    <w:rsid w:val="00A97EE2"/>
    <w:rsid w:val="00AA0A98"/>
    <w:rsid w:val="00AA2025"/>
    <w:rsid w:val="00AA2334"/>
    <w:rsid w:val="00AA2506"/>
    <w:rsid w:val="00AA27DA"/>
    <w:rsid w:val="00AA581F"/>
    <w:rsid w:val="00AA598D"/>
    <w:rsid w:val="00AA5AE7"/>
    <w:rsid w:val="00AA7092"/>
    <w:rsid w:val="00AA78DC"/>
    <w:rsid w:val="00AB041C"/>
    <w:rsid w:val="00AB1270"/>
    <w:rsid w:val="00AB199C"/>
    <w:rsid w:val="00AB664E"/>
    <w:rsid w:val="00AB7948"/>
    <w:rsid w:val="00AB7B43"/>
    <w:rsid w:val="00AB7E17"/>
    <w:rsid w:val="00AC039F"/>
    <w:rsid w:val="00AC5877"/>
    <w:rsid w:val="00AC679B"/>
    <w:rsid w:val="00AD134F"/>
    <w:rsid w:val="00AD287A"/>
    <w:rsid w:val="00AD4328"/>
    <w:rsid w:val="00AD6239"/>
    <w:rsid w:val="00AD6388"/>
    <w:rsid w:val="00AD75A9"/>
    <w:rsid w:val="00AD777E"/>
    <w:rsid w:val="00AD7D57"/>
    <w:rsid w:val="00AD7E03"/>
    <w:rsid w:val="00AD7F25"/>
    <w:rsid w:val="00AE224C"/>
    <w:rsid w:val="00AE3650"/>
    <w:rsid w:val="00AE4853"/>
    <w:rsid w:val="00AE5B27"/>
    <w:rsid w:val="00AE6801"/>
    <w:rsid w:val="00AE6E53"/>
    <w:rsid w:val="00AF0EAF"/>
    <w:rsid w:val="00AF1352"/>
    <w:rsid w:val="00AF1CA3"/>
    <w:rsid w:val="00AF1CEF"/>
    <w:rsid w:val="00AF5886"/>
    <w:rsid w:val="00AF6B65"/>
    <w:rsid w:val="00AF738F"/>
    <w:rsid w:val="00B01222"/>
    <w:rsid w:val="00B0187F"/>
    <w:rsid w:val="00B0357F"/>
    <w:rsid w:val="00B041F4"/>
    <w:rsid w:val="00B04BD3"/>
    <w:rsid w:val="00B070CE"/>
    <w:rsid w:val="00B1267E"/>
    <w:rsid w:val="00B12832"/>
    <w:rsid w:val="00B128B5"/>
    <w:rsid w:val="00B1307E"/>
    <w:rsid w:val="00B14EA7"/>
    <w:rsid w:val="00B16275"/>
    <w:rsid w:val="00B21369"/>
    <w:rsid w:val="00B22721"/>
    <w:rsid w:val="00B2409C"/>
    <w:rsid w:val="00B24184"/>
    <w:rsid w:val="00B24C9B"/>
    <w:rsid w:val="00B254C6"/>
    <w:rsid w:val="00B25B82"/>
    <w:rsid w:val="00B26F08"/>
    <w:rsid w:val="00B33732"/>
    <w:rsid w:val="00B33834"/>
    <w:rsid w:val="00B33D58"/>
    <w:rsid w:val="00B36132"/>
    <w:rsid w:val="00B366A0"/>
    <w:rsid w:val="00B40C82"/>
    <w:rsid w:val="00B4265E"/>
    <w:rsid w:val="00B42F80"/>
    <w:rsid w:val="00B44F9B"/>
    <w:rsid w:val="00B458D2"/>
    <w:rsid w:val="00B477AA"/>
    <w:rsid w:val="00B47B8E"/>
    <w:rsid w:val="00B511B1"/>
    <w:rsid w:val="00B539A8"/>
    <w:rsid w:val="00B53D88"/>
    <w:rsid w:val="00B57E44"/>
    <w:rsid w:val="00B62912"/>
    <w:rsid w:val="00B64113"/>
    <w:rsid w:val="00B65B37"/>
    <w:rsid w:val="00B72325"/>
    <w:rsid w:val="00B72880"/>
    <w:rsid w:val="00B73637"/>
    <w:rsid w:val="00B73A57"/>
    <w:rsid w:val="00B76C4A"/>
    <w:rsid w:val="00B77597"/>
    <w:rsid w:val="00B775A7"/>
    <w:rsid w:val="00B803A2"/>
    <w:rsid w:val="00B80D86"/>
    <w:rsid w:val="00B8119C"/>
    <w:rsid w:val="00B835EA"/>
    <w:rsid w:val="00B839C8"/>
    <w:rsid w:val="00B86009"/>
    <w:rsid w:val="00B87DD9"/>
    <w:rsid w:val="00B92720"/>
    <w:rsid w:val="00B92AAD"/>
    <w:rsid w:val="00B92AD3"/>
    <w:rsid w:val="00B931E6"/>
    <w:rsid w:val="00B93EC1"/>
    <w:rsid w:val="00B94097"/>
    <w:rsid w:val="00B96275"/>
    <w:rsid w:val="00B97B96"/>
    <w:rsid w:val="00BA0926"/>
    <w:rsid w:val="00BA19EA"/>
    <w:rsid w:val="00BA2F73"/>
    <w:rsid w:val="00BA329C"/>
    <w:rsid w:val="00BA38CD"/>
    <w:rsid w:val="00BA3E6D"/>
    <w:rsid w:val="00BA48F6"/>
    <w:rsid w:val="00BA54F5"/>
    <w:rsid w:val="00BA7C08"/>
    <w:rsid w:val="00BA7FA9"/>
    <w:rsid w:val="00BB151C"/>
    <w:rsid w:val="00BB1A88"/>
    <w:rsid w:val="00BB1B23"/>
    <w:rsid w:val="00BB1F27"/>
    <w:rsid w:val="00BB30AB"/>
    <w:rsid w:val="00BB486E"/>
    <w:rsid w:val="00BB5FED"/>
    <w:rsid w:val="00BB62A9"/>
    <w:rsid w:val="00BB7CA0"/>
    <w:rsid w:val="00BC044D"/>
    <w:rsid w:val="00BC14C9"/>
    <w:rsid w:val="00BC3EDC"/>
    <w:rsid w:val="00BC5D8D"/>
    <w:rsid w:val="00BC6403"/>
    <w:rsid w:val="00BC7AF1"/>
    <w:rsid w:val="00BC7F2C"/>
    <w:rsid w:val="00BD030B"/>
    <w:rsid w:val="00BD0F4E"/>
    <w:rsid w:val="00BD0F79"/>
    <w:rsid w:val="00BD2329"/>
    <w:rsid w:val="00BD2469"/>
    <w:rsid w:val="00BD3554"/>
    <w:rsid w:val="00BD3719"/>
    <w:rsid w:val="00BD3C18"/>
    <w:rsid w:val="00BD430D"/>
    <w:rsid w:val="00BD4EF8"/>
    <w:rsid w:val="00BD4FFF"/>
    <w:rsid w:val="00BD6424"/>
    <w:rsid w:val="00BD7B4D"/>
    <w:rsid w:val="00BE11A5"/>
    <w:rsid w:val="00BE1DCB"/>
    <w:rsid w:val="00BE2DEC"/>
    <w:rsid w:val="00BE42B5"/>
    <w:rsid w:val="00BE4709"/>
    <w:rsid w:val="00BE5737"/>
    <w:rsid w:val="00BE615D"/>
    <w:rsid w:val="00BE6A94"/>
    <w:rsid w:val="00BE6CAD"/>
    <w:rsid w:val="00BE6DE0"/>
    <w:rsid w:val="00BF06D9"/>
    <w:rsid w:val="00BF0A87"/>
    <w:rsid w:val="00BF1407"/>
    <w:rsid w:val="00BF1830"/>
    <w:rsid w:val="00BF1E89"/>
    <w:rsid w:val="00BF25A0"/>
    <w:rsid w:val="00BF2649"/>
    <w:rsid w:val="00BF2D1A"/>
    <w:rsid w:val="00BF47D5"/>
    <w:rsid w:val="00BF7A8C"/>
    <w:rsid w:val="00C004C8"/>
    <w:rsid w:val="00C0297C"/>
    <w:rsid w:val="00C029B2"/>
    <w:rsid w:val="00C032A8"/>
    <w:rsid w:val="00C03BB9"/>
    <w:rsid w:val="00C04487"/>
    <w:rsid w:val="00C04F43"/>
    <w:rsid w:val="00C05B04"/>
    <w:rsid w:val="00C10594"/>
    <w:rsid w:val="00C11FA2"/>
    <w:rsid w:val="00C12AAF"/>
    <w:rsid w:val="00C13610"/>
    <w:rsid w:val="00C14B7E"/>
    <w:rsid w:val="00C14C1B"/>
    <w:rsid w:val="00C15387"/>
    <w:rsid w:val="00C16DF1"/>
    <w:rsid w:val="00C17326"/>
    <w:rsid w:val="00C21726"/>
    <w:rsid w:val="00C22435"/>
    <w:rsid w:val="00C22E4F"/>
    <w:rsid w:val="00C24966"/>
    <w:rsid w:val="00C24A4E"/>
    <w:rsid w:val="00C26E07"/>
    <w:rsid w:val="00C30691"/>
    <w:rsid w:val="00C3083F"/>
    <w:rsid w:val="00C30CAB"/>
    <w:rsid w:val="00C31F6E"/>
    <w:rsid w:val="00C340E1"/>
    <w:rsid w:val="00C35260"/>
    <w:rsid w:val="00C355D8"/>
    <w:rsid w:val="00C36613"/>
    <w:rsid w:val="00C3755F"/>
    <w:rsid w:val="00C401DB"/>
    <w:rsid w:val="00C42AC6"/>
    <w:rsid w:val="00C42CC5"/>
    <w:rsid w:val="00C44187"/>
    <w:rsid w:val="00C453CA"/>
    <w:rsid w:val="00C50251"/>
    <w:rsid w:val="00C52410"/>
    <w:rsid w:val="00C55BB0"/>
    <w:rsid w:val="00C56567"/>
    <w:rsid w:val="00C61D7F"/>
    <w:rsid w:val="00C636B7"/>
    <w:rsid w:val="00C74624"/>
    <w:rsid w:val="00C7467C"/>
    <w:rsid w:val="00C82706"/>
    <w:rsid w:val="00C82A59"/>
    <w:rsid w:val="00C82A62"/>
    <w:rsid w:val="00C83B74"/>
    <w:rsid w:val="00C87016"/>
    <w:rsid w:val="00C87017"/>
    <w:rsid w:val="00C8752A"/>
    <w:rsid w:val="00C87C09"/>
    <w:rsid w:val="00C90EC0"/>
    <w:rsid w:val="00C92F15"/>
    <w:rsid w:val="00C93119"/>
    <w:rsid w:val="00C95248"/>
    <w:rsid w:val="00C95CB5"/>
    <w:rsid w:val="00C95E4E"/>
    <w:rsid w:val="00C95EDC"/>
    <w:rsid w:val="00C96108"/>
    <w:rsid w:val="00C97029"/>
    <w:rsid w:val="00C9717D"/>
    <w:rsid w:val="00C97429"/>
    <w:rsid w:val="00CA0A36"/>
    <w:rsid w:val="00CA0B80"/>
    <w:rsid w:val="00CA13B1"/>
    <w:rsid w:val="00CA2E69"/>
    <w:rsid w:val="00CA302F"/>
    <w:rsid w:val="00CA3B94"/>
    <w:rsid w:val="00CA6A76"/>
    <w:rsid w:val="00CB0D81"/>
    <w:rsid w:val="00CB2C07"/>
    <w:rsid w:val="00CB399B"/>
    <w:rsid w:val="00CB6128"/>
    <w:rsid w:val="00CB63E6"/>
    <w:rsid w:val="00CB78CF"/>
    <w:rsid w:val="00CC1A1D"/>
    <w:rsid w:val="00CC283E"/>
    <w:rsid w:val="00CC2DD1"/>
    <w:rsid w:val="00CC44E1"/>
    <w:rsid w:val="00CC52F1"/>
    <w:rsid w:val="00CC59CB"/>
    <w:rsid w:val="00CC7632"/>
    <w:rsid w:val="00CD1DF0"/>
    <w:rsid w:val="00CD24C7"/>
    <w:rsid w:val="00CD2FE3"/>
    <w:rsid w:val="00CD4B5B"/>
    <w:rsid w:val="00CD63BE"/>
    <w:rsid w:val="00CD68B7"/>
    <w:rsid w:val="00CD7B3C"/>
    <w:rsid w:val="00CD7D80"/>
    <w:rsid w:val="00CD7E5D"/>
    <w:rsid w:val="00CE0E1C"/>
    <w:rsid w:val="00CE1B42"/>
    <w:rsid w:val="00CE5873"/>
    <w:rsid w:val="00CF13F0"/>
    <w:rsid w:val="00CF14E7"/>
    <w:rsid w:val="00CF1A47"/>
    <w:rsid w:val="00CF3F9F"/>
    <w:rsid w:val="00CF57D1"/>
    <w:rsid w:val="00CF6310"/>
    <w:rsid w:val="00D0135E"/>
    <w:rsid w:val="00D02360"/>
    <w:rsid w:val="00D0446D"/>
    <w:rsid w:val="00D04DEE"/>
    <w:rsid w:val="00D050E6"/>
    <w:rsid w:val="00D07407"/>
    <w:rsid w:val="00D07D6B"/>
    <w:rsid w:val="00D1025E"/>
    <w:rsid w:val="00D105A4"/>
    <w:rsid w:val="00D111F9"/>
    <w:rsid w:val="00D125AA"/>
    <w:rsid w:val="00D14746"/>
    <w:rsid w:val="00D151B2"/>
    <w:rsid w:val="00D15DF7"/>
    <w:rsid w:val="00D17B1D"/>
    <w:rsid w:val="00D20157"/>
    <w:rsid w:val="00D20D36"/>
    <w:rsid w:val="00D223AB"/>
    <w:rsid w:val="00D22E25"/>
    <w:rsid w:val="00D23658"/>
    <w:rsid w:val="00D26858"/>
    <w:rsid w:val="00D27FF6"/>
    <w:rsid w:val="00D31935"/>
    <w:rsid w:val="00D3279E"/>
    <w:rsid w:val="00D337A8"/>
    <w:rsid w:val="00D353B6"/>
    <w:rsid w:val="00D4437B"/>
    <w:rsid w:val="00D4548E"/>
    <w:rsid w:val="00D46D9A"/>
    <w:rsid w:val="00D47A86"/>
    <w:rsid w:val="00D50962"/>
    <w:rsid w:val="00D50E02"/>
    <w:rsid w:val="00D51945"/>
    <w:rsid w:val="00D51A79"/>
    <w:rsid w:val="00D5234C"/>
    <w:rsid w:val="00D53996"/>
    <w:rsid w:val="00D53C0D"/>
    <w:rsid w:val="00D53DD9"/>
    <w:rsid w:val="00D5506A"/>
    <w:rsid w:val="00D55130"/>
    <w:rsid w:val="00D568D5"/>
    <w:rsid w:val="00D60C92"/>
    <w:rsid w:val="00D621DB"/>
    <w:rsid w:val="00D62EAF"/>
    <w:rsid w:val="00D636DA"/>
    <w:rsid w:val="00D63869"/>
    <w:rsid w:val="00D639C6"/>
    <w:rsid w:val="00D65B4D"/>
    <w:rsid w:val="00D65EE9"/>
    <w:rsid w:val="00D65FAE"/>
    <w:rsid w:val="00D66059"/>
    <w:rsid w:val="00D66254"/>
    <w:rsid w:val="00D66A92"/>
    <w:rsid w:val="00D676A6"/>
    <w:rsid w:val="00D70818"/>
    <w:rsid w:val="00D71190"/>
    <w:rsid w:val="00D7136A"/>
    <w:rsid w:val="00D71CE0"/>
    <w:rsid w:val="00D721AE"/>
    <w:rsid w:val="00D7224A"/>
    <w:rsid w:val="00D72BDE"/>
    <w:rsid w:val="00D733A5"/>
    <w:rsid w:val="00D74192"/>
    <w:rsid w:val="00D75577"/>
    <w:rsid w:val="00D80814"/>
    <w:rsid w:val="00D81723"/>
    <w:rsid w:val="00D825C6"/>
    <w:rsid w:val="00D84222"/>
    <w:rsid w:val="00D85693"/>
    <w:rsid w:val="00D86D0F"/>
    <w:rsid w:val="00D907AE"/>
    <w:rsid w:val="00D90CB1"/>
    <w:rsid w:val="00D9157D"/>
    <w:rsid w:val="00D930B8"/>
    <w:rsid w:val="00D94546"/>
    <w:rsid w:val="00D96BBA"/>
    <w:rsid w:val="00D975BC"/>
    <w:rsid w:val="00D97E54"/>
    <w:rsid w:val="00DA034F"/>
    <w:rsid w:val="00DA0719"/>
    <w:rsid w:val="00DA1500"/>
    <w:rsid w:val="00DA3582"/>
    <w:rsid w:val="00DA44F1"/>
    <w:rsid w:val="00DA59B1"/>
    <w:rsid w:val="00DB1161"/>
    <w:rsid w:val="00DB2061"/>
    <w:rsid w:val="00DB2AB0"/>
    <w:rsid w:val="00DB3B2C"/>
    <w:rsid w:val="00DB3E90"/>
    <w:rsid w:val="00DB618B"/>
    <w:rsid w:val="00DB6A22"/>
    <w:rsid w:val="00DB6B1B"/>
    <w:rsid w:val="00DB79FD"/>
    <w:rsid w:val="00DB7C9F"/>
    <w:rsid w:val="00DC0303"/>
    <w:rsid w:val="00DC6BB7"/>
    <w:rsid w:val="00DC7212"/>
    <w:rsid w:val="00DD100F"/>
    <w:rsid w:val="00DD10BA"/>
    <w:rsid w:val="00DD2A3A"/>
    <w:rsid w:val="00DD399E"/>
    <w:rsid w:val="00DD49F6"/>
    <w:rsid w:val="00DD49F9"/>
    <w:rsid w:val="00DD579C"/>
    <w:rsid w:val="00DD57EA"/>
    <w:rsid w:val="00DE28AA"/>
    <w:rsid w:val="00DE4AD6"/>
    <w:rsid w:val="00DE4FFC"/>
    <w:rsid w:val="00DE507C"/>
    <w:rsid w:val="00DE6C1C"/>
    <w:rsid w:val="00DF0AAB"/>
    <w:rsid w:val="00DF12D7"/>
    <w:rsid w:val="00DF138A"/>
    <w:rsid w:val="00DF2023"/>
    <w:rsid w:val="00DF2B45"/>
    <w:rsid w:val="00DF2CBB"/>
    <w:rsid w:val="00DF3B5B"/>
    <w:rsid w:val="00DF405D"/>
    <w:rsid w:val="00DF6275"/>
    <w:rsid w:val="00DF6567"/>
    <w:rsid w:val="00DF6EBD"/>
    <w:rsid w:val="00DF76EB"/>
    <w:rsid w:val="00DF7A02"/>
    <w:rsid w:val="00DF7C6D"/>
    <w:rsid w:val="00E0213D"/>
    <w:rsid w:val="00E04317"/>
    <w:rsid w:val="00E04FEC"/>
    <w:rsid w:val="00E10961"/>
    <w:rsid w:val="00E10DA6"/>
    <w:rsid w:val="00E1161A"/>
    <w:rsid w:val="00E134F2"/>
    <w:rsid w:val="00E13B23"/>
    <w:rsid w:val="00E13D5D"/>
    <w:rsid w:val="00E1411A"/>
    <w:rsid w:val="00E15F22"/>
    <w:rsid w:val="00E16007"/>
    <w:rsid w:val="00E16886"/>
    <w:rsid w:val="00E16CD5"/>
    <w:rsid w:val="00E17518"/>
    <w:rsid w:val="00E200AF"/>
    <w:rsid w:val="00E20477"/>
    <w:rsid w:val="00E20C21"/>
    <w:rsid w:val="00E219C8"/>
    <w:rsid w:val="00E236DD"/>
    <w:rsid w:val="00E263F0"/>
    <w:rsid w:val="00E272C2"/>
    <w:rsid w:val="00E27A71"/>
    <w:rsid w:val="00E306EA"/>
    <w:rsid w:val="00E31AE0"/>
    <w:rsid w:val="00E32312"/>
    <w:rsid w:val="00E3662B"/>
    <w:rsid w:val="00E401D2"/>
    <w:rsid w:val="00E4156B"/>
    <w:rsid w:val="00E420F3"/>
    <w:rsid w:val="00E42D27"/>
    <w:rsid w:val="00E42E3C"/>
    <w:rsid w:val="00E43BFA"/>
    <w:rsid w:val="00E445F6"/>
    <w:rsid w:val="00E44A79"/>
    <w:rsid w:val="00E44FFD"/>
    <w:rsid w:val="00E45229"/>
    <w:rsid w:val="00E47A50"/>
    <w:rsid w:val="00E47DC8"/>
    <w:rsid w:val="00E5039C"/>
    <w:rsid w:val="00E515BC"/>
    <w:rsid w:val="00E51C07"/>
    <w:rsid w:val="00E5218D"/>
    <w:rsid w:val="00E5368B"/>
    <w:rsid w:val="00E54255"/>
    <w:rsid w:val="00E54913"/>
    <w:rsid w:val="00E54CB6"/>
    <w:rsid w:val="00E55E89"/>
    <w:rsid w:val="00E56B7C"/>
    <w:rsid w:val="00E56CB4"/>
    <w:rsid w:val="00E6013A"/>
    <w:rsid w:val="00E61AEB"/>
    <w:rsid w:val="00E620F4"/>
    <w:rsid w:val="00E62C9D"/>
    <w:rsid w:val="00E65702"/>
    <w:rsid w:val="00E65EC3"/>
    <w:rsid w:val="00E65FE6"/>
    <w:rsid w:val="00E66829"/>
    <w:rsid w:val="00E7106F"/>
    <w:rsid w:val="00E711DF"/>
    <w:rsid w:val="00E7152D"/>
    <w:rsid w:val="00E71AE3"/>
    <w:rsid w:val="00E71CA3"/>
    <w:rsid w:val="00E72BB1"/>
    <w:rsid w:val="00E72C52"/>
    <w:rsid w:val="00E72F11"/>
    <w:rsid w:val="00E7391A"/>
    <w:rsid w:val="00E73A4D"/>
    <w:rsid w:val="00E7425D"/>
    <w:rsid w:val="00E74427"/>
    <w:rsid w:val="00E75EDD"/>
    <w:rsid w:val="00E76583"/>
    <w:rsid w:val="00E76B4C"/>
    <w:rsid w:val="00E76C43"/>
    <w:rsid w:val="00E76C6E"/>
    <w:rsid w:val="00E77C4C"/>
    <w:rsid w:val="00E77FDD"/>
    <w:rsid w:val="00E828D0"/>
    <w:rsid w:val="00E8388E"/>
    <w:rsid w:val="00E83C96"/>
    <w:rsid w:val="00E87735"/>
    <w:rsid w:val="00E91409"/>
    <w:rsid w:val="00E9218C"/>
    <w:rsid w:val="00E93691"/>
    <w:rsid w:val="00E94AB9"/>
    <w:rsid w:val="00E95C81"/>
    <w:rsid w:val="00E95F24"/>
    <w:rsid w:val="00E96F5F"/>
    <w:rsid w:val="00E97492"/>
    <w:rsid w:val="00E979D5"/>
    <w:rsid w:val="00E97F21"/>
    <w:rsid w:val="00EA011C"/>
    <w:rsid w:val="00EA199E"/>
    <w:rsid w:val="00EA47C5"/>
    <w:rsid w:val="00EA7B76"/>
    <w:rsid w:val="00EB2906"/>
    <w:rsid w:val="00EB2AA1"/>
    <w:rsid w:val="00EB36B4"/>
    <w:rsid w:val="00EB407E"/>
    <w:rsid w:val="00EB416C"/>
    <w:rsid w:val="00EB5750"/>
    <w:rsid w:val="00EB5BB6"/>
    <w:rsid w:val="00EB62FE"/>
    <w:rsid w:val="00EB6AAA"/>
    <w:rsid w:val="00EC097B"/>
    <w:rsid w:val="00EC0E29"/>
    <w:rsid w:val="00EC2250"/>
    <w:rsid w:val="00EC3831"/>
    <w:rsid w:val="00EC3E8A"/>
    <w:rsid w:val="00EC4018"/>
    <w:rsid w:val="00ED0068"/>
    <w:rsid w:val="00ED1207"/>
    <w:rsid w:val="00ED16E4"/>
    <w:rsid w:val="00ED41C5"/>
    <w:rsid w:val="00ED430E"/>
    <w:rsid w:val="00ED5AEA"/>
    <w:rsid w:val="00ED5D2E"/>
    <w:rsid w:val="00ED6E6A"/>
    <w:rsid w:val="00ED774F"/>
    <w:rsid w:val="00EE007A"/>
    <w:rsid w:val="00EE0AA7"/>
    <w:rsid w:val="00EE22D4"/>
    <w:rsid w:val="00EE36DF"/>
    <w:rsid w:val="00EE3B18"/>
    <w:rsid w:val="00EE44EE"/>
    <w:rsid w:val="00EE47B8"/>
    <w:rsid w:val="00EF10D6"/>
    <w:rsid w:val="00EF2866"/>
    <w:rsid w:val="00EF327A"/>
    <w:rsid w:val="00EF3550"/>
    <w:rsid w:val="00EF3B7E"/>
    <w:rsid w:val="00EF3DF0"/>
    <w:rsid w:val="00EF41AF"/>
    <w:rsid w:val="00EF44AB"/>
    <w:rsid w:val="00EF48BD"/>
    <w:rsid w:val="00EF5B80"/>
    <w:rsid w:val="00EF5C44"/>
    <w:rsid w:val="00EF7421"/>
    <w:rsid w:val="00EF7523"/>
    <w:rsid w:val="00EF7804"/>
    <w:rsid w:val="00EF7C2C"/>
    <w:rsid w:val="00F045A5"/>
    <w:rsid w:val="00F0581A"/>
    <w:rsid w:val="00F06B34"/>
    <w:rsid w:val="00F07CFC"/>
    <w:rsid w:val="00F16C58"/>
    <w:rsid w:val="00F21166"/>
    <w:rsid w:val="00F23E23"/>
    <w:rsid w:val="00F24293"/>
    <w:rsid w:val="00F24602"/>
    <w:rsid w:val="00F26307"/>
    <w:rsid w:val="00F273F6"/>
    <w:rsid w:val="00F27D5A"/>
    <w:rsid w:val="00F31F75"/>
    <w:rsid w:val="00F33010"/>
    <w:rsid w:val="00F33874"/>
    <w:rsid w:val="00F344BF"/>
    <w:rsid w:val="00F34C8F"/>
    <w:rsid w:val="00F353A6"/>
    <w:rsid w:val="00F357D7"/>
    <w:rsid w:val="00F35881"/>
    <w:rsid w:val="00F35A5B"/>
    <w:rsid w:val="00F4071A"/>
    <w:rsid w:val="00F43977"/>
    <w:rsid w:val="00F43C57"/>
    <w:rsid w:val="00F44A8E"/>
    <w:rsid w:val="00F45E29"/>
    <w:rsid w:val="00F474E0"/>
    <w:rsid w:val="00F5101A"/>
    <w:rsid w:val="00F51FAD"/>
    <w:rsid w:val="00F5270A"/>
    <w:rsid w:val="00F52A24"/>
    <w:rsid w:val="00F52DB8"/>
    <w:rsid w:val="00F54782"/>
    <w:rsid w:val="00F547E8"/>
    <w:rsid w:val="00F56CDD"/>
    <w:rsid w:val="00F6017C"/>
    <w:rsid w:val="00F60DD4"/>
    <w:rsid w:val="00F60E55"/>
    <w:rsid w:val="00F61B4E"/>
    <w:rsid w:val="00F61C58"/>
    <w:rsid w:val="00F63DD9"/>
    <w:rsid w:val="00F7048F"/>
    <w:rsid w:val="00F70C15"/>
    <w:rsid w:val="00F70D0E"/>
    <w:rsid w:val="00F71527"/>
    <w:rsid w:val="00F73787"/>
    <w:rsid w:val="00F739A9"/>
    <w:rsid w:val="00F73ACC"/>
    <w:rsid w:val="00F7497C"/>
    <w:rsid w:val="00F75BE5"/>
    <w:rsid w:val="00F7762A"/>
    <w:rsid w:val="00F80D78"/>
    <w:rsid w:val="00F8157C"/>
    <w:rsid w:val="00F81E5B"/>
    <w:rsid w:val="00F843EB"/>
    <w:rsid w:val="00F8506D"/>
    <w:rsid w:val="00F8556F"/>
    <w:rsid w:val="00F85FA8"/>
    <w:rsid w:val="00F8657F"/>
    <w:rsid w:val="00F86815"/>
    <w:rsid w:val="00F86B59"/>
    <w:rsid w:val="00F86BA5"/>
    <w:rsid w:val="00F90F53"/>
    <w:rsid w:val="00F91278"/>
    <w:rsid w:val="00F92EA8"/>
    <w:rsid w:val="00F93369"/>
    <w:rsid w:val="00F95C68"/>
    <w:rsid w:val="00F95E65"/>
    <w:rsid w:val="00F963CF"/>
    <w:rsid w:val="00F9756F"/>
    <w:rsid w:val="00F97B9C"/>
    <w:rsid w:val="00FA035F"/>
    <w:rsid w:val="00FA225D"/>
    <w:rsid w:val="00FA39D5"/>
    <w:rsid w:val="00FA42AD"/>
    <w:rsid w:val="00FA4651"/>
    <w:rsid w:val="00FA5AFF"/>
    <w:rsid w:val="00FA6989"/>
    <w:rsid w:val="00FB21A6"/>
    <w:rsid w:val="00FB2D74"/>
    <w:rsid w:val="00FB307C"/>
    <w:rsid w:val="00FB45D0"/>
    <w:rsid w:val="00FB5507"/>
    <w:rsid w:val="00FB6031"/>
    <w:rsid w:val="00FC077E"/>
    <w:rsid w:val="00FC0DA8"/>
    <w:rsid w:val="00FC1508"/>
    <w:rsid w:val="00FC1A14"/>
    <w:rsid w:val="00FC33B5"/>
    <w:rsid w:val="00FC72E9"/>
    <w:rsid w:val="00FD17DB"/>
    <w:rsid w:val="00FD2D1F"/>
    <w:rsid w:val="00FD38CD"/>
    <w:rsid w:val="00FD3A31"/>
    <w:rsid w:val="00FD4746"/>
    <w:rsid w:val="00FD5C28"/>
    <w:rsid w:val="00FD60AE"/>
    <w:rsid w:val="00FD6DD0"/>
    <w:rsid w:val="00FD7857"/>
    <w:rsid w:val="00FE3DB8"/>
    <w:rsid w:val="00FE4024"/>
    <w:rsid w:val="00FE423B"/>
    <w:rsid w:val="00FE46B3"/>
    <w:rsid w:val="00FE48FC"/>
    <w:rsid w:val="00FE565F"/>
    <w:rsid w:val="00FE640A"/>
    <w:rsid w:val="00FE7B9C"/>
    <w:rsid w:val="00FE7BFD"/>
    <w:rsid w:val="00FE7FF6"/>
    <w:rsid w:val="00FF0DE4"/>
    <w:rsid w:val="00FF1767"/>
    <w:rsid w:val="00FF1D5D"/>
    <w:rsid w:val="00FF20F3"/>
    <w:rsid w:val="00FF3E7A"/>
    <w:rsid w:val="00FF4908"/>
    <w:rsid w:val="00FF4B3D"/>
    <w:rsid w:val="00FF6799"/>
    <w:rsid w:val="00FF751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9"/>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TOC1">
    <w:name w:val="toc 1"/>
    <w:basedOn w:val="Normal"/>
    <w:next w:val="Normal"/>
    <w:autoRedefine/>
    <w:uiPriority w:val="99"/>
    <w:pPr>
      <w:spacing w:after="100"/>
    </w:p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locked/>
    <w:pPr>
      <w:spacing w:after="200" w:line="276" w:lineRule="auto"/>
    </w:pPr>
    <w:rPr>
      <w:rFonts w:eastAsia="Times New Roman"/>
      <w:sz w:val="20"/>
      <w:szCs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locked/>
    <w:pPr>
      <w:spacing w:after="0" w:line="240" w:lineRule="auto"/>
    </w:pPr>
    <w:rPr>
      <w:rFonts w:ascii="Times New Roman" w:hAnsi="Times New Roman"/>
      <w:b/>
      <w:bCs/>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Pr>
      <w:rFonts w:cs="Times New Roman"/>
    </w:rPr>
  </w:style>
  <w:style w:type="paragraph" w:styleId="TOC2">
    <w:name w:val="toc 2"/>
    <w:basedOn w:val="Normal"/>
    <w:next w:val="Normal"/>
    <w:autoRedefine/>
    <w:uiPriority w:val="99"/>
    <w:semiHidden/>
    <w:locked/>
    <w:pPr>
      <w:ind w:left="220"/>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 w:type="paragraph" w:styleId="PlainText">
    <w:name w:val="Plain Text"/>
    <w:basedOn w:val="Normal"/>
    <w:link w:val="PlainTextChar"/>
    <w:uiPriority w:val="9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Pr>
      <w:rFonts w:ascii="Consolas" w:hAnsi="Consolas" w:cs="Times New Roman"/>
      <w:sz w:val="21"/>
      <w:szCs w:val="21"/>
      <w:lang w:val="en-US" w:eastAsia="en-US" w:bidi="ar-SA"/>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pPr>
      <w:spacing w:after="0" w:line="240" w:lineRule="auto"/>
      <w:ind w:right="432"/>
    </w:pPr>
    <w:rPr>
      <w:sz w:val="20"/>
      <w:szCs w:val="20"/>
    </w:rPr>
  </w:style>
  <w:style w:type="character" w:customStyle="1" w:styleId="CommentTextChar">
    <w:name w:val="Comment Text Char"/>
    <w:basedOn w:val="DefaultParagraphFont"/>
    <w:link w:val="CommentText"/>
    <w:uiPriority w:val="99"/>
    <w:locked/>
    <w:rPr>
      <w:rFonts w:ascii="Calibri" w:hAnsi="Calibri" w:cs="Times New Roman"/>
      <w:lang w:val="en-US" w:eastAsia="en-US" w:bidi="ar-SA"/>
    </w:rPr>
  </w:style>
  <w:style w:type="paragraph" w:styleId="NoSpacing">
    <w:name w:val="No Spacing"/>
    <w:link w:val="NoSpacingChar"/>
    <w:uiPriority w:val="99"/>
    <w:qFormat/>
    <w:pPr>
      <w:jc w:val="both"/>
    </w:pPr>
  </w:style>
  <w:style w:type="character" w:customStyle="1" w:styleId="NoSpacingChar">
    <w:name w:val="No Spacing Char"/>
    <w:basedOn w:val="DefaultParagraphFont"/>
    <w:link w:val="NoSpacing"/>
    <w:uiPriority w:val="99"/>
    <w:locked/>
    <w:rPr>
      <w:rFonts w:cs="Times New Roman"/>
      <w:sz w:val="22"/>
      <w:szCs w:val="22"/>
      <w:lang w:val="en-US" w:eastAsia="en-US" w:bidi="ar-SA"/>
    </w:rPr>
  </w:style>
  <w:style w:type="paragraph" w:styleId="ListParagraph">
    <w:name w:val="List Paragraph"/>
    <w:basedOn w:val="Normal"/>
    <w:uiPriority w:val="34"/>
    <w:qFormat/>
    <w:rsid w:val="00F357D7"/>
    <w:pPr>
      <w:ind w:left="720"/>
      <w:contextualSpacing/>
    </w:pPr>
  </w:style>
  <w:style w:type="paragraph" w:styleId="NormalWeb">
    <w:name w:val="Normal (Web)"/>
    <w:basedOn w:val="Normal"/>
    <w:uiPriority w:val="99"/>
    <w:semiHidden/>
    <w:unhideWhenUsed/>
    <w:rsid w:val="004609AB"/>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9"/>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TOC1">
    <w:name w:val="toc 1"/>
    <w:basedOn w:val="Normal"/>
    <w:next w:val="Normal"/>
    <w:autoRedefine/>
    <w:uiPriority w:val="99"/>
    <w:pPr>
      <w:spacing w:after="100"/>
    </w:p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locked/>
    <w:pPr>
      <w:spacing w:after="200" w:line="276" w:lineRule="auto"/>
    </w:pPr>
    <w:rPr>
      <w:rFonts w:eastAsia="Times New Roman"/>
      <w:sz w:val="20"/>
      <w:szCs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locked/>
    <w:pPr>
      <w:spacing w:after="0" w:line="240" w:lineRule="auto"/>
    </w:pPr>
    <w:rPr>
      <w:rFonts w:ascii="Times New Roman" w:hAnsi="Times New Roman"/>
      <w:b/>
      <w:bCs/>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Pr>
      <w:rFonts w:cs="Times New Roman"/>
    </w:rPr>
  </w:style>
  <w:style w:type="paragraph" w:styleId="TOC2">
    <w:name w:val="toc 2"/>
    <w:basedOn w:val="Normal"/>
    <w:next w:val="Normal"/>
    <w:autoRedefine/>
    <w:uiPriority w:val="99"/>
    <w:semiHidden/>
    <w:locked/>
    <w:pPr>
      <w:ind w:left="220"/>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 w:type="paragraph" w:styleId="PlainText">
    <w:name w:val="Plain Text"/>
    <w:basedOn w:val="Normal"/>
    <w:link w:val="PlainTextChar"/>
    <w:uiPriority w:val="9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Pr>
      <w:rFonts w:ascii="Consolas" w:hAnsi="Consolas" w:cs="Times New Roman"/>
      <w:sz w:val="21"/>
      <w:szCs w:val="21"/>
      <w:lang w:val="en-US" w:eastAsia="en-US" w:bidi="ar-SA"/>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pPr>
      <w:spacing w:after="0" w:line="240" w:lineRule="auto"/>
      <w:ind w:right="432"/>
    </w:pPr>
    <w:rPr>
      <w:sz w:val="20"/>
      <w:szCs w:val="20"/>
    </w:rPr>
  </w:style>
  <w:style w:type="character" w:customStyle="1" w:styleId="CommentTextChar">
    <w:name w:val="Comment Text Char"/>
    <w:basedOn w:val="DefaultParagraphFont"/>
    <w:link w:val="CommentText"/>
    <w:uiPriority w:val="99"/>
    <w:locked/>
    <w:rPr>
      <w:rFonts w:ascii="Calibri" w:hAnsi="Calibri" w:cs="Times New Roman"/>
      <w:lang w:val="en-US" w:eastAsia="en-US" w:bidi="ar-SA"/>
    </w:rPr>
  </w:style>
  <w:style w:type="paragraph" w:styleId="NoSpacing">
    <w:name w:val="No Spacing"/>
    <w:link w:val="NoSpacingChar"/>
    <w:uiPriority w:val="99"/>
    <w:qFormat/>
    <w:pPr>
      <w:jc w:val="both"/>
    </w:pPr>
  </w:style>
  <w:style w:type="character" w:customStyle="1" w:styleId="NoSpacingChar">
    <w:name w:val="No Spacing Char"/>
    <w:basedOn w:val="DefaultParagraphFont"/>
    <w:link w:val="NoSpacing"/>
    <w:uiPriority w:val="99"/>
    <w:locked/>
    <w:rPr>
      <w:rFonts w:cs="Times New Roman"/>
      <w:sz w:val="22"/>
      <w:szCs w:val="22"/>
      <w:lang w:val="en-US" w:eastAsia="en-US" w:bidi="ar-SA"/>
    </w:rPr>
  </w:style>
  <w:style w:type="paragraph" w:styleId="ListParagraph">
    <w:name w:val="List Paragraph"/>
    <w:basedOn w:val="Normal"/>
    <w:uiPriority w:val="34"/>
    <w:qFormat/>
    <w:rsid w:val="00F357D7"/>
    <w:pPr>
      <w:ind w:left="720"/>
      <w:contextualSpacing/>
    </w:pPr>
  </w:style>
  <w:style w:type="paragraph" w:styleId="NormalWeb">
    <w:name w:val="Normal (Web)"/>
    <w:basedOn w:val="Normal"/>
    <w:uiPriority w:val="99"/>
    <w:semiHidden/>
    <w:unhideWhenUsed/>
    <w:rsid w:val="004609AB"/>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956462">
      <w:bodyDiv w:val="1"/>
      <w:marLeft w:val="0"/>
      <w:marRight w:val="0"/>
      <w:marTop w:val="0"/>
      <w:marBottom w:val="0"/>
      <w:divBdr>
        <w:top w:val="none" w:sz="0" w:space="0" w:color="auto"/>
        <w:left w:val="none" w:sz="0" w:space="0" w:color="auto"/>
        <w:bottom w:val="none" w:sz="0" w:space="0" w:color="auto"/>
        <w:right w:val="none" w:sz="0" w:space="0" w:color="auto"/>
      </w:divBdr>
    </w:div>
    <w:div w:id="870386714">
      <w:bodyDiv w:val="1"/>
      <w:marLeft w:val="0"/>
      <w:marRight w:val="0"/>
      <w:marTop w:val="0"/>
      <w:marBottom w:val="0"/>
      <w:divBdr>
        <w:top w:val="none" w:sz="0" w:space="0" w:color="auto"/>
        <w:left w:val="none" w:sz="0" w:space="0" w:color="auto"/>
        <w:bottom w:val="none" w:sz="0" w:space="0" w:color="auto"/>
        <w:right w:val="none" w:sz="0" w:space="0" w:color="auto"/>
      </w:divBdr>
    </w:div>
    <w:div w:id="1426226682">
      <w:bodyDiv w:val="1"/>
      <w:marLeft w:val="0"/>
      <w:marRight w:val="0"/>
      <w:marTop w:val="0"/>
      <w:marBottom w:val="0"/>
      <w:divBdr>
        <w:top w:val="none" w:sz="0" w:space="0" w:color="auto"/>
        <w:left w:val="none" w:sz="0" w:space="0" w:color="auto"/>
        <w:bottom w:val="none" w:sz="0" w:space="0" w:color="auto"/>
        <w:right w:val="none" w:sz="0" w:space="0" w:color="auto"/>
      </w:divBdr>
    </w:div>
    <w:div w:id="1551839485">
      <w:bodyDiv w:val="1"/>
      <w:marLeft w:val="0"/>
      <w:marRight w:val="0"/>
      <w:marTop w:val="0"/>
      <w:marBottom w:val="0"/>
      <w:divBdr>
        <w:top w:val="none" w:sz="0" w:space="0" w:color="auto"/>
        <w:left w:val="none" w:sz="0" w:space="0" w:color="auto"/>
        <w:bottom w:val="none" w:sz="0" w:space="0" w:color="auto"/>
        <w:right w:val="none" w:sz="0" w:space="0" w:color="auto"/>
      </w:divBdr>
    </w:div>
    <w:div w:id="1575168121">
      <w:bodyDiv w:val="1"/>
      <w:marLeft w:val="0"/>
      <w:marRight w:val="0"/>
      <w:marTop w:val="0"/>
      <w:marBottom w:val="0"/>
      <w:divBdr>
        <w:top w:val="none" w:sz="0" w:space="0" w:color="auto"/>
        <w:left w:val="none" w:sz="0" w:space="0" w:color="auto"/>
        <w:bottom w:val="none" w:sz="0" w:space="0" w:color="auto"/>
        <w:right w:val="none" w:sz="0" w:space="0" w:color="auto"/>
      </w:divBdr>
    </w:div>
    <w:div w:id="181679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6:Sources xmlns:ns26="http://schemas.openxmlformats.org/officeDocument/2006/bibliography" SelectedStyle="\APA.XSL" StyleName="APA Fifth Edition"/>
</file>

<file path=customXml/itemProps1.xml><?xml version="1.0" encoding="utf-8"?>
<ds:datastoreItem xmlns:ds="http://schemas.openxmlformats.org/officeDocument/2006/customXml" ds:itemID="{9A083AB5-C76A-45ED-82E1-F9198588B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3958</TotalTime>
  <Pages>23</Pages>
  <Words>5476</Words>
  <Characters>31219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Here is some text</vt:lpstr>
    </vt:vector>
  </TitlesOfParts>
  <Company>Microsoft</Company>
  <LinksUpToDate>false</LinksUpToDate>
  <CharactersWithSpaces>36622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 is some text</dc:title>
  <dc:creator>Rocio</dc:creator>
  <cp:lastModifiedBy>Penny Reniker</cp:lastModifiedBy>
  <cp:revision>29</cp:revision>
  <cp:lastPrinted>2017-03-10T18:27:00Z</cp:lastPrinted>
  <dcterms:created xsi:type="dcterms:W3CDTF">2017-03-06T17:41:00Z</dcterms:created>
  <dcterms:modified xsi:type="dcterms:W3CDTF">2017-03-10T18:27:00Z</dcterms:modified>
</cp:coreProperties>
</file>