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7F0073">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20T00:00:00Z">
            <w:dateFormat w:val="MMMM d, yyyy"/>
            <w:lid w:val="en-US"/>
            <w:storeMappedDataAs w:val="dateTime"/>
            <w:calendar w:val="gregorian"/>
          </w:date>
        </w:sdtPr>
        <w:sdtEndPr>
          <w:rPr>
            <w:rStyle w:val="DefaultParagraphFont"/>
            <w:rFonts w:ascii="Times New Roman" w:hAnsi="Times New Roman"/>
          </w:rPr>
        </w:sdtEndPr>
        <w:sdtContent>
          <w:r w:rsidR="007F0073">
            <w:rPr>
              <w:rStyle w:val="Style3"/>
            </w:rPr>
            <w:t>March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F6542D">
            <w:rPr>
              <w:rStyle w:val="Style3"/>
              <w:rFonts w:eastAsiaTheme="majorEastAsia"/>
            </w:rPr>
            <w:t>Public Hearing for 201</w:t>
          </w:r>
          <w:r w:rsidR="00141779">
            <w:rPr>
              <w:rStyle w:val="Style3"/>
              <w:rFonts w:eastAsiaTheme="majorEastAsia"/>
            </w:rPr>
            <w:t>6</w:t>
          </w:r>
          <w:r w:rsidR="00F6542D">
            <w:rPr>
              <w:rStyle w:val="Style3"/>
              <w:rFonts w:eastAsiaTheme="majorEastAsia"/>
            </w:rPr>
            <w:t xml:space="preserve"> Consolidated Annual Performance Report (CAPER)</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02655A" w:rsidRPr="00791D82" w:rsidRDefault="0002655A"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02655A" w:rsidRPr="00791D82" w:rsidRDefault="0002655A"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rPr>
          <w:sz w:val="32"/>
        </w:rPr>
      </w:sdtEndPr>
      <w:sdtContent>
        <w:p w:rsidR="00EB1A02" w:rsidRPr="00F6542D" w:rsidRDefault="0002655A">
          <w:pPr>
            <w:rPr>
              <w:rFonts w:ascii="Century Gothic" w:hAnsi="Century Gothic"/>
              <w:sz w:val="32"/>
            </w:rPr>
          </w:pPr>
          <w:r>
            <w:rPr>
              <w:rFonts w:ascii="Century Gothic" w:hAnsi="Century Gothic" w:cs="Century Gothic"/>
              <w:szCs w:val="20"/>
            </w:rPr>
            <w:t>The City receives</w:t>
          </w:r>
          <w:r w:rsidR="00F6542D" w:rsidRPr="00F6542D">
            <w:rPr>
              <w:rFonts w:ascii="Century Gothic" w:hAnsi="Century Gothic" w:cs="Century Gothic"/>
              <w:szCs w:val="20"/>
            </w:rPr>
            <w:t xml:space="preserve"> Community Development Block Grant and HOME Investment Partnership (HOME) Funding from the Department of Housing and Urban Development (HUD) annually due to its population and demographics.  The City of Columbia is required to submit a Consolidated Annual Performance Report (CAPER) in order to receive additional funds. The CAPER is documentation required by the U.S. Department of Housing and Urban Development (HUD) summarizing CDBG and HOME expenditures, and progress in meeting the goals and objectives of the City's 2015-2019 Consolidate</w:t>
          </w:r>
          <w:r w:rsidR="000005F1">
            <w:rPr>
              <w:rFonts w:ascii="Century Gothic" w:hAnsi="Century Gothic" w:cs="Century Gothic"/>
              <w:szCs w:val="20"/>
            </w:rPr>
            <w:t>d Plan during calendar year 2016</w:t>
          </w:r>
          <w:r w:rsidR="00F6542D" w:rsidRPr="00F6542D">
            <w:rPr>
              <w:rFonts w:ascii="Century Gothic" w:hAnsi="Century Gothic" w:cs="Century Gothic"/>
              <w:szCs w:val="20"/>
            </w:rPr>
            <w:t>.  Prior to submission of the CAPER to HUD, the City's Citizen Participation Plan requires a public hearing and requires any comments from interested parties to be attached.</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02655A" w:rsidRPr="00791D82" w:rsidRDefault="0002655A"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02655A" w:rsidRPr="00791D82" w:rsidRDefault="0002655A"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F6542D" w:rsidRPr="00F6542D" w:rsidRDefault="00F6542D" w:rsidP="00F6542D">
          <w:pPr>
            <w:autoSpaceDE w:val="0"/>
            <w:autoSpaceDN w:val="0"/>
            <w:adjustRightInd w:val="0"/>
            <w:jc w:val="both"/>
            <w:rPr>
              <w:rFonts w:ascii="Century Gothic" w:hAnsi="Century Gothic" w:cs="Century Gothic"/>
            </w:rPr>
          </w:pPr>
          <w:r w:rsidRPr="00F6542D">
            <w:rPr>
              <w:rFonts w:ascii="Century Gothic" w:hAnsi="Century Gothic" w:cs="Century Gothic"/>
            </w:rPr>
            <w:t>The CAPER evaluates performance of HUD funded activities in the City of Columbia.  It reviews expenditures and progre</w:t>
          </w:r>
          <w:r w:rsidR="000005F1">
            <w:rPr>
              <w:rFonts w:ascii="Century Gothic" w:hAnsi="Century Gothic" w:cs="Century Gothic"/>
            </w:rPr>
            <w:t>ss in meeting objectives in 2016</w:t>
          </w:r>
          <w:r w:rsidRPr="00F6542D">
            <w:rPr>
              <w:rFonts w:ascii="Century Gothic" w:hAnsi="Century Gothic" w:cs="Century Gothic"/>
            </w:rPr>
            <w:t>, the first year of the current five year plan period.  The report includes uses of the City's CDBG and HOME formula resources that address the HUD national objectives to provide "decent housing, a suitable living environment, and expanded economic opportunity" for low-income populations.  These activities include use of HUD funding, as well as other public and private funding.  The City expended $</w:t>
          </w:r>
          <w:r w:rsidR="000005F1">
            <w:rPr>
              <w:rFonts w:ascii="Century Gothic" w:hAnsi="Century Gothic" w:cs="Century Gothic"/>
            </w:rPr>
            <w:t>1,130,351 in CDBG funds, $</w:t>
          </w:r>
          <w:r w:rsidR="0002655A">
            <w:rPr>
              <w:rFonts w:ascii="Century Gothic" w:hAnsi="Century Gothic" w:cs="Century Gothic"/>
            </w:rPr>
            <w:t>714,718.25</w:t>
          </w:r>
          <w:r w:rsidRPr="00F6542D">
            <w:rPr>
              <w:rFonts w:ascii="Century Gothic" w:hAnsi="Century Gothic" w:cs="Century Gothic"/>
            </w:rPr>
            <w:t xml:space="preserve"> in HOME funds during the reporting period.  </w:t>
          </w:r>
        </w:p>
        <w:p w:rsidR="00F6542D" w:rsidRPr="00D5515B" w:rsidRDefault="00F6542D" w:rsidP="00F6542D">
          <w:pPr>
            <w:autoSpaceDE w:val="0"/>
            <w:autoSpaceDN w:val="0"/>
            <w:adjustRightInd w:val="0"/>
            <w:jc w:val="both"/>
            <w:rPr>
              <w:rFonts w:ascii="Century Gothic" w:hAnsi="Century Gothic" w:cs="Century Gothic"/>
              <w:sz w:val="16"/>
              <w:szCs w:val="16"/>
            </w:rPr>
          </w:pPr>
          <w:r w:rsidRPr="00F6542D">
            <w:rPr>
              <w:rFonts w:ascii="Century Gothic" w:hAnsi="Century Gothic" w:cs="Century Gothic"/>
            </w:rPr>
            <w:t xml:space="preserve"> </w:t>
          </w:r>
        </w:p>
        <w:p w:rsidR="00F6542D" w:rsidRPr="00F6542D" w:rsidRDefault="00F6542D" w:rsidP="00F6542D">
          <w:pPr>
            <w:autoSpaceDE w:val="0"/>
            <w:autoSpaceDN w:val="0"/>
            <w:adjustRightInd w:val="0"/>
            <w:jc w:val="both"/>
            <w:rPr>
              <w:rFonts w:ascii="Century Gothic" w:hAnsi="Century Gothic" w:cs="Century Gothic"/>
            </w:rPr>
          </w:pPr>
          <w:r w:rsidRPr="00F6542D">
            <w:rPr>
              <w:rFonts w:ascii="Century Gothic" w:hAnsi="Century Gothic" w:cs="Century Gothic"/>
            </w:rPr>
            <w:t>The Community Development Commission (CDC) hel</w:t>
          </w:r>
          <w:r w:rsidR="000005F1">
            <w:rPr>
              <w:rFonts w:ascii="Century Gothic" w:hAnsi="Century Gothic" w:cs="Century Gothic"/>
            </w:rPr>
            <w:t>d a meeting on Wednesday March 8, 2017</w:t>
          </w:r>
          <w:r w:rsidRPr="00F6542D">
            <w:rPr>
              <w:rFonts w:ascii="Century Gothic" w:hAnsi="Century Gothic" w:cs="Century Gothic"/>
            </w:rPr>
            <w:t xml:space="preserve"> to review </w:t>
          </w:r>
          <w:r w:rsidR="0002655A">
            <w:rPr>
              <w:rFonts w:ascii="Century Gothic" w:hAnsi="Century Gothic" w:cs="Century Gothic"/>
            </w:rPr>
            <w:t xml:space="preserve">items to be contained within </w:t>
          </w:r>
          <w:r w:rsidRPr="00F6542D">
            <w:rPr>
              <w:rFonts w:ascii="Century Gothic" w:hAnsi="Century Gothic" w:cs="Century Gothic"/>
            </w:rPr>
            <w:t>the report.  The CDC does not make recommendations on the CAPER to council; however it uses the report as a resource with evaluating priority needs for future efforts.  Public comments on the CAPER will be accepted through March 28, 201</w:t>
          </w:r>
          <w:r w:rsidR="000005F1">
            <w:rPr>
              <w:rFonts w:ascii="Century Gothic" w:hAnsi="Century Gothic" w:cs="Century Gothic"/>
            </w:rPr>
            <w:t>7</w:t>
          </w:r>
          <w:r w:rsidRPr="00F6542D">
            <w:rPr>
              <w:rFonts w:ascii="Century Gothic" w:hAnsi="Century Gothic" w:cs="Century Gothic"/>
            </w:rPr>
            <w:t>.</w:t>
          </w:r>
        </w:p>
        <w:p w:rsidR="00F6542D" w:rsidRPr="00D5515B" w:rsidRDefault="00F6542D" w:rsidP="00F6542D">
          <w:pPr>
            <w:autoSpaceDE w:val="0"/>
            <w:autoSpaceDN w:val="0"/>
            <w:adjustRightInd w:val="0"/>
            <w:jc w:val="both"/>
            <w:rPr>
              <w:rFonts w:ascii="Century Gothic" w:hAnsi="Century Gothic" w:cs="Century Gothic"/>
              <w:sz w:val="16"/>
              <w:szCs w:val="16"/>
            </w:rPr>
          </w:pPr>
          <w:r w:rsidRPr="00F6542D">
            <w:rPr>
              <w:rFonts w:ascii="Century Gothic" w:hAnsi="Century Gothic" w:cs="Century Gothic"/>
            </w:rPr>
            <w:t xml:space="preserve"> </w:t>
          </w:r>
        </w:p>
        <w:p w:rsidR="00F6542D" w:rsidRPr="00F6542D" w:rsidRDefault="00F6542D" w:rsidP="00F6542D">
          <w:pPr>
            <w:autoSpaceDE w:val="0"/>
            <w:autoSpaceDN w:val="0"/>
            <w:adjustRightInd w:val="0"/>
            <w:jc w:val="both"/>
            <w:rPr>
              <w:rFonts w:ascii="Century Gothic" w:hAnsi="Century Gothic" w:cs="Century Gothic"/>
            </w:rPr>
          </w:pPr>
          <w:r w:rsidRPr="00F6542D">
            <w:rPr>
              <w:rFonts w:ascii="Century Gothic" w:hAnsi="Century Gothic" w:cs="Century Gothic"/>
            </w:rPr>
            <w:t>The CAPER is an opportunity to review performance of specific programs and activities against the objectives and performance measures that were established by the Consolidated Plan.  The Consolidated Plan, approved by the Council in October 2014, is the City's long-range strategy for a five-year investment plan for community development, housing, and homeless services.  It establishes annual objectives by activity and the CAPER examines progress on each objective.  Areas with significant accomplishments included the following:</w:t>
          </w:r>
        </w:p>
        <w:p w:rsidR="00F6542D" w:rsidRPr="00F6542D" w:rsidRDefault="000005F1" w:rsidP="00F6542D">
          <w:pPr>
            <w:widowControl w:val="0"/>
            <w:numPr>
              <w:ilvl w:val="0"/>
              <w:numId w:val="1"/>
            </w:numPr>
            <w:rPr>
              <w:rFonts w:ascii="Century Gothic" w:eastAsia="Calibri" w:hAnsi="Century Gothic"/>
            </w:rPr>
          </w:pPr>
          <w:r>
            <w:rPr>
              <w:rFonts w:ascii="Century Gothic" w:eastAsia="Calibri" w:hAnsi="Century Gothic"/>
            </w:rPr>
            <w:t xml:space="preserve">Construction of </w:t>
          </w:r>
          <w:r w:rsidR="00F6542D" w:rsidRPr="00F6542D">
            <w:rPr>
              <w:rFonts w:ascii="Century Gothic" w:eastAsia="Calibri" w:hAnsi="Century Gothic"/>
            </w:rPr>
            <w:t>3 sidewalk pro</w:t>
          </w:r>
          <w:r w:rsidR="000D3382">
            <w:rPr>
              <w:rFonts w:ascii="Century Gothic" w:eastAsia="Calibri" w:hAnsi="Century Gothic"/>
            </w:rPr>
            <w:t>jects completed in 2016 (Worley</w:t>
          </w:r>
          <w:r w:rsidR="00F6542D" w:rsidRPr="00F6542D">
            <w:rPr>
              <w:rFonts w:ascii="Century Gothic" w:eastAsia="Calibri" w:hAnsi="Century Gothic"/>
            </w:rPr>
            <w:t xml:space="preserve">, N. Garth, </w:t>
          </w:r>
          <w:proofErr w:type="spellStart"/>
          <w:r w:rsidR="00F6542D" w:rsidRPr="00F6542D">
            <w:rPr>
              <w:rFonts w:ascii="Century Gothic" w:eastAsia="Calibri" w:hAnsi="Century Gothic"/>
            </w:rPr>
            <w:t>Ell</w:t>
          </w:r>
          <w:r w:rsidR="00624524">
            <w:rPr>
              <w:rFonts w:ascii="Century Gothic" w:eastAsia="Calibri" w:hAnsi="Century Gothic"/>
            </w:rPr>
            <w:t>e</w:t>
          </w:r>
          <w:r w:rsidR="00F6542D" w:rsidRPr="00F6542D">
            <w:rPr>
              <w:rFonts w:ascii="Century Gothic" w:eastAsia="Calibri" w:hAnsi="Century Gothic"/>
            </w:rPr>
            <w:t>ta</w:t>
          </w:r>
          <w:proofErr w:type="spellEnd"/>
          <w:r w:rsidR="00F6542D" w:rsidRPr="00F6542D">
            <w:rPr>
              <w:rFonts w:ascii="Century Gothic" w:eastAsia="Calibri" w:hAnsi="Century Gothic"/>
            </w:rPr>
            <w:t xml:space="preserve"> Blvd)</w:t>
          </w:r>
        </w:p>
        <w:p w:rsidR="00F6542D" w:rsidRPr="00F6542D" w:rsidRDefault="00F6542D" w:rsidP="00F6542D">
          <w:pPr>
            <w:widowControl w:val="0"/>
            <w:numPr>
              <w:ilvl w:val="0"/>
              <w:numId w:val="1"/>
            </w:numPr>
            <w:rPr>
              <w:rFonts w:ascii="Century Gothic" w:eastAsia="Calibri" w:hAnsi="Century Gothic"/>
            </w:rPr>
          </w:pPr>
          <w:r w:rsidRPr="00F6542D">
            <w:rPr>
              <w:rFonts w:ascii="Century Gothic" w:eastAsia="Calibri" w:hAnsi="Century Gothic"/>
            </w:rPr>
            <w:t>Services for Independent Living with the completion of 2</w:t>
          </w:r>
          <w:r w:rsidR="000005F1">
            <w:rPr>
              <w:rFonts w:ascii="Century Gothic" w:eastAsia="Calibri" w:hAnsi="Century Gothic"/>
            </w:rPr>
            <w:t>9</w:t>
          </w:r>
          <w:r w:rsidRPr="00F6542D">
            <w:rPr>
              <w:rFonts w:ascii="Century Gothic" w:eastAsia="Calibri" w:hAnsi="Century Gothic"/>
            </w:rPr>
            <w:t xml:space="preserve"> projects</w:t>
          </w:r>
          <w:r w:rsidR="000D3382">
            <w:rPr>
              <w:rFonts w:ascii="Century Gothic" w:eastAsia="Calibri" w:hAnsi="Century Gothic"/>
            </w:rPr>
            <w:t>.</w:t>
          </w:r>
          <w:r w:rsidRPr="00F6542D">
            <w:rPr>
              <w:rFonts w:ascii="Century Gothic" w:eastAsia="Calibri" w:hAnsi="Century Gothic"/>
            </w:rPr>
            <w:t xml:space="preserve"> </w:t>
          </w:r>
        </w:p>
        <w:p w:rsidR="00F6542D" w:rsidRPr="00F6542D" w:rsidRDefault="00F6542D" w:rsidP="00F6542D">
          <w:pPr>
            <w:widowControl w:val="0"/>
            <w:numPr>
              <w:ilvl w:val="0"/>
              <w:numId w:val="1"/>
            </w:numPr>
            <w:rPr>
              <w:rFonts w:ascii="Century Gothic" w:eastAsia="Calibri" w:hAnsi="Century Gothic"/>
            </w:rPr>
          </w:pPr>
          <w:r w:rsidRPr="00F6542D">
            <w:rPr>
              <w:rFonts w:ascii="Century Gothic" w:eastAsia="Calibri" w:hAnsi="Century Gothic"/>
            </w:rPr>
            <w:t>Job Point completion of vocational training for 14 students.</w:t>
          </w:r>
        </w:p>
        <w:p w:rsidR="00F6542D" w:rsidRPr="00F6542D" w:rsidRDefault="000005F1" w:rsidP="00F6542D">
          <w:pPr>
            <w:widowControl w:val="0"/>
            <w:numPr>
              <w:ilvl w:val="0"/>
              <w:numId w:val="1"/>
            </w:numPr>
            <w:rPr>
              <w:rFonts w:ascii="Century Gothic" w:eastAsia="Calibri" w:hAnsi="Century Gothic"/>
            </w:rPr>
          </w:pPr>
          <w:r>
            <w:rPr>
              <w:rFonts w:ascii="Century Gothic" w:eastAsia="Calibri" w:hAnsi="Century Gothic"/>
            </w:rPr>
            <w:lastRenderedPageBreak/>
            <w:t>Grading and site infrastructure</w:t>
          </w:r>
          <w:r w:rsidR="00F6542D" w:rsidRPr="00F6542D">
            <w:rPr>
              <w:rFonts w:ascii="Century Gothic" w:eastAsia="Calibri" w:hAnsi="Century Gothic"/>
            </w:rPr>
            <w:t xml:space="preserve"> progress on Lynn Street homes and </w:t>
          </w:r>
          <w:r w:rsidRPr="00F6542D">
            <w:rPr>
              <w:rFonts w:ascii="Century Gothic" w:eastAsia="Calibri" w:hAnsi="Century Gothic"/>
            </w:rPr>
            <w:t>neighborhood</w:t>
          </w:r>
          <w:r>
            <w:rPr>
              <w:rFonts w:ascii="Century Gothic" w:eastAsia="Calibri" w:hAnsi="Century Gothic"/>
            </w:rPr>
            <w:t xml:space="preserve"> engagement.</w:t>
          </w:r>
        </w:p>
        <w:p w:rsidR="00F6542D" w:rsidRPr="00F6542D" w:rsidRDefault="00F6542D" w:rsidP="00F6542D">
          <w:pPr>
            <w:widowControl w:val="0"/>
            <w:numPr>
              <w:ilvl w:val="0"/>
              <w:numId w:val="1"/>
            </w:numPr>
            <w:rPr>
              <w:rFonts w:ascii="Century Gothic" w:eastAsia="Calibri" w:hAnsi="Century Gothic"/>
            </w:rPr>
          </w:pPr>
          <w:r w:rsidRPr="00F6542D">
            <w:rPr>
              <w:rFonts w:ascii="Century Gothic" w:eastAsia="Calibri" w:hAnsi="Century Gothic"/>
            </w:rPr>
            <w:t>Increased Homeownership Assistan</w:t>
          </w:r>
          <w:r w:rsidR="000005F1">
            <w:rPr>
              <w:rFonts w:ascii="Century Gothic" w:eastAsia="Calibri" w:hAnsi="Century Gothic"/>
            </w:rPr>
            <w:t>ce Program participation with 35</w:t>
          </w:r>
          <w:r w:rsidRPr="00F6542D">
            <w:rPr>
              <w:rFonts w:ascii="Century Gothic" w:eastAsia="Calibri" w:hAnsi="Century Gothic"/>
            </w:rPr>
            <w:t xml:space="preserve"> participants.</w:t>
          </w:r>
        </w:p>
        <w:p w:rsidR="00F6542D" w:rsidRDefault="000005F1" w:rsidP="00F6542D">
          <w:pPr>
            <w:widowControl w:val="0"/>
            <w:numPr>
              <w:ilvl w:val="0"/>
              <w:numId w:val="1"/>
            </w:numPr>
            <w:rPr>
              <w:rFonts w:ascii="Century Gothic" w:eastAsia="Calibri" w:hAnsi="Century Gothic"/>
            </w:rPr>
          </w:pPr>
          <w:r>
            <w:rPr>
              <w:rFonts w:ascii="Century Gothic" w:eastAsia="Calibri" w:hAnsi="Century Gothic"/>
            </w:rPr>
            <w:t>Columbia Housing Authority progress on Stuart Parker Development.</w:t>
          </w:r>
        </w:p>
        <w:p w:rsidR="000005F1" w:rsidRPr="00F6542D" w:rsidRDefault="000005F1" w:rsidP="00F6542D">
          <w:pPr>
            <w:widowControl w:val="0"/>
            <w:numPr>
              <w:ilvl w:val="0"/>
              <w:numId w:val="1"/>
            </w:numPr>
            <w:rPr>
              <w:rFonts w:ascii="Century Gothic" w:eastAsia="Calibri" w:hAnsi="Century Gothic"/>
            </w:rPr>
          </w:pPr>
          <w:r>
            <w:rPr>
              <w:rFonts w:ascii="Century Gothic" w:eastAsia="Calibri" w:hAnsi="Century Gothic"/>
            </w:rPr>
            <w:t>JES Dev Co, Inc. completion of Gentry Estates Phase II.</w:t>
          </w:r>
        </w:p>
        <w:p w:rsidR="00F6542D" w:rsidRDefault="000005F1" w:rsidP="00F6542D">
          <w:pPr>
            <w:widowControl w:val="0"/>
            <w:numPr>
              <w:ilvl w:val="0"/>
              <w:numId w:val="1"/>
            </w:numPr>
            <w:rPr>
              <w:rFonts w:ascii="Century Gothic" w:eastAsia="Calibri" w:hAnsi="Century Gothic"/>
            </w:rPr>
          </w:pPr>
          <w:r>
            <w:rPr>
              <w:rFonts w:ascii="Century Gothic" w:eastAsia="Calibri" w:hAnsi="Century Gothic"/>
            </w:rPr>
            <w:t xml:space="preserve">Significant progress on </w:t>
          </w:r>
          <w:r w:rsidR="00141779">
            <w:rPr>
              <w:rFonts w:ascii="Century Gothic" w:eastAsia="Calibri" w:hAnsi="Century Gothic"/>
            </w:rPr>
            <w:t>CMCA</w:t>
          </w:r>
          <w:r>
            <w:rPr>
              <w:rFonts w:ascii="Century Gothic" w:eastAsia="Calibri" w:hAnsi="Century Gothic"/>
            </w:rPr>
            <w:t>’s 3606 Woodside Drive</w:t>
          </w:r>
          <w:r w:rsidR="00141779">
            <w:rPr>
              <w:rFonts w:ascii="Century Gothic" w:eastAsia="Calibri" w:hAnsi="Century Gothic"/>
            </w:rPr>
            <w:t xml:space="preserve"> residential construction</w:t>
          </w:r>
          <w:r>
            <w:rPr>
              <w:rFonts w:ascii="Century Gothic" w:eastAsia="Calibri" w:hAnsi="Century Gothic"/>
            </w:rPr>
            <w:t>.</w:t>
          </w:r>
        </w:p>
        <w:p w:rsidR="00141779" w:rsidRDefault="00141779" w:rsidP="00141779">
          <w:pPr>
            <w:widowControl w:val="0"/>
            <w:numPr>
              <w:ilvl w:val="0"/>
              <w:numId w:val="1"/>
            </w:numPr>
            <w:rPr>
              <w:rFonts w:ascii="Century Gothic" w:eastAsia="Calibri" w:hAnsi="Century Gothic"/>
            </w:rPr>
          </w:pPr>
          <w:r>
            <w:rPr>
              <w:rFonts w:ascii="Century Gothic" w:eastAsia="Calibri" w:hAnsi="Century Gothic"/>
            </w:rPr>
            <w:t>Implementation of Columbia Community Land Trust, Inc.</w:t>
          </w:r>
        </w:p>
        <w:p w:rsidR="00141779" w:rsidRDefault="00141779" w:rsidP="00F6542D">
          <w:pPr>
            <w:widowControl w:val="0"/>
            <w:numPr>
              <w:ilvl w:val="0"/>
              <w:numId w:val="1"/>
            </w:numPr>
            <w:rPr>
              <w:rFonts w:ascii="Century Gothic" w:eastAsia="Calibri" w:hAnsi="Century Gothic"/>
            </w:rPr>
          </w:pPr>
          <w:r>
            <w:rPr>
              <w:rFonts w:ascii="Century Gothic" w:eastAsia="Calibri" w:hAnsi="Century Gothic"/>
            </w:rPr>
            <w:t>Implementation of Affordable Housing Permit Fee Waiver and Rebate Ordinance.</w:t>
          </w:r>
        </w:p>
        <w:p w:rsidR="00141779" w:rsidRDefault="00141779" w:rsidP="00F6542D">
          <w:pPr>
            <w:widowControl w:val="0"/>
            <w:numPr>
              <w:ilvl w:val="0"/>
              <w:numId w:val="1"/>
            </w:numPr>
            <w:rPr>
              <w:rFonts w:ascii="Century Gothic" w:eastAsia="Calibri" w:hAnsi="Century Gothic"/>
            </w:rPr>
          </w:pPr>
          <w:r>
            <w:rPr>
              <w:rFonts w:ascii="Century Gothic" w:eastAsia="Calibri" w:hAnsi="Century Gothic"/>
            </w:rPr>
            <w:t>Development of the Enhance Your Attic Program in partnership with Water &amp; Light and Sustainability staff.</w:t>
          </w:r>
        </w:p>
        <w:p w:rsidR="00F6542D" w:rsidRPr="00D5515B" w:rsidRDefault="00F6542D" w:rsidP="00F6542D">
          <w:pPr>
            <w:widowControl w:val="0"/>
            <w:ind w:left="720"/>
            <w:rPr>
              <w:rFonts w:ascii="Century Gothic" w:eastAsia="Calibri" w:hAnsi="Century Gothic"/>
              <w:sz w:val="16"/>
              <w:szCs w:val="16"/>
            </w:rPr>
          </w:pPr>
        </w:p>
        <w:p w:rsidR="00CE4274" w:rsidRPr="00F6542D" w:rsidRDefault="00F6542D" w:rsidP="00F6542D">
          <w:pPr>
            <w:rPr>
              <w:rFonts w:ascii="Century Gothic" w:hAnsi="Century Gothic"/>
            </w:rPr>
          </w:pPr>
          <w:r w:rsidRPr="00F6542D">
            <w:rPr>
              <w:rFonts w:ascii="Century Gothic" w:hAnsi="Century Gothic" w:cs="Century Gothic"/>
            </w:rPr>
            <w:t>The City CDBG/HO</w:t>
          </w:r>
          <w:r w:rsidR="00141779">
            <w:rPr>
              <w:rFonts w:ascii="Century Gothic" w:hAnsi="Century Gothic" w:cs="Century Gothic"/>
            </w:rPr>
            <w:t>ME loan portfolio balance was $</w:t>
          </w:r>
          <w:r w:rsidR="00867B6A">
            <w:rPr>
              <w:rFonts w:ascii="Century Gothic" w:hAnsi="Century Gothic" w:cs="Century Gothic"/>
            </w:rPr>
            <w:t>7,995,937.74</w:t>
          </w:r>
          <w:r w:rsidR="00141779">
            <w:rPr>
              <w:rFonts w:ascii="Century Gothic" w:hAnsi="Century Gothic" w:cs="Century Gothic"/>
            </w:rPr>
            <w:t xml:space="preserve"> </w:t>
          </w:r>
          <w:r w:rsidR="00BF583D">
            <w:rPr>
              <w:rFonts w:ascii="Century Gothic" w:hAnsi="Century Gothic" w:cs="Century Gothic"/>
            </w:rPr>
            <w:t>at t</w:t>
          </w:r>
          <w:r w:rsidR="00141779">
            <w:rPr>
              <w:rFonts w:ascii="Century Gothic" w:hAnsi="Century Gothic" w:cs="Century Gothic"/>
            </w:rPr>
            <w:t>he end of 2016</w:t>
          </w:r>
          <w:r w:rsidR="00867B6A">
            <w:rPr>
              <w:rFonts w:ascii="Century Gothic" w:hAnsi="Century Gothic" w:cs="Century Gothic"/>
            </w:rPr>
            <w:t>, which is an</w:t>
          </w:r>
          <w:r w:rsidR="00BF583D">
            <w:rPr>
              <w:rFonts w:ascii="Century Gothic" w:hAnsi="Century Gothic" w:cs="Century Gothic"/>
            </w:rPr>
            <w:t xml:space="preserve"> increase in the balance of </w:t>
          </w:r>
          <w:r w:rsidR="00141779">
            <w:rPr>
              <w:rFonts w:ascii="Century Gothic" w:hAnsi="Century Gothic" w:cs="Century Gothic"/>
            </w:rPr>
            <w:t>$7,709,086.26 at the end of 2015</w:t>
          </w:r>
          <w:r w:rsidR="00BF583D">
            <w:rPr>
              <w:rFonts w:ascii="Century Gothic" w:hAnsi="Century Gothic" w:cs="Century Gothic"/>
            </w:rPr>
            <w:t>.</w:t>
          </w:r>
          <w:r w:rsidR="00867B6A">
            <w:rPr>
              <w:rFonts w:ascii="Century Gothic" w:hAnsi="Century Gothic" w:cs="Century Gothic"/>
            </w:rPr>
            <w:t xml:space="preserve">  City staff projects the loan portfolio balance to exceed $8 million by end of 2017.</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02655A" w:rsidRPr="00791D82" w:rsidRDefault="0002655A"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02655A" w:rsidRPr="00791D82" w:rsidRDefault="0002655A"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F0073">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F0073">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02655A" w:rsidRPr="00791D82" w:rsidRDefault="0002655A"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02655A" w:rsidRPr="00791D82" w:rsidRDefault="0002655A"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2E2366">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F0073">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Pr="00D5515B" w:rsidRDefault="004F48BF">
      <w:pPr>
        <w:rPr>
          <w:sz w:val="16"/>
          <w:szCs w:val="16"/>
        </w:rPr>
      </w:pPr>
    </w:p>
    <w:p w:rsidR="000E3DAB" w:rsidRDefault="002E2366">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F0073">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F0073">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F0073">
            <w:rPr>
              <w:rStyle w:val="Style3"/>
            </w:rPr>
            <w:t>Economy</w:t>
          </w:r>
        </w:sdtContent>
      </w:sdt>
      <w:r>
        <w:rPr>
          <w:rFonts w:ascii="Century Gothic" w:hAnsi="Century Gothic"/>
        </w:rPr>
        <w:t xml:space="preserve">  </w:t>
      </w:r>
    </w:p>
    <w:p w:rsidR="004F48BF" w:rsidRPr="00D5515B" w:rsidRDefault="004F48BF" w:rsidP="000E3DAB">
      <w:pPr>
        <w:rPr>
          <w:rFonts w:ascii="Century Gothic" w:hAnsi="Century Gothic"/>
          <w:sz w:val="16"/>
          <w:szCs w:val="16"/>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F0073">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F0073">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F0073">
            <w:rPr>
              <w:rStyle w:val="Style3"/>
            </w:rPr>
            <w:t>Economic Development</w:t>
          </w:r>
        </w:sdtContent>
      </w:sdt>
    </w:p>
    <w:p w:rsidR="00D5515B" w:rsidRPr="00D5515B" w:rsidRDefault="00D5515B">
      <w:pPr>
        <w:rPr>
          <w:rFonts w:ascii="Century Gothic" w:hAnsi="Century Gothic"/>
          <w:sz w:val="16"/>
          <w:szCs w:val="16"/>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02655A" w:rsidRPr="00791D82" w:rsidRDefault="0002655A"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02655A" w:rsidRPr="00791D82" w:rsidRDefault="0002655A"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BF583D" w:rsidRDefault="00BF583D" w:rsidP="00BF583D">
                <w:pPr>
                  <w:rPr>
                    <w:rFonts w:ascii="Century Gothic" w:hAnsi="Century Gothic"/>
                  </w:rPr>
                </w:pPr>
                <w:r>
                  <w:rPr>
                    <w:rFonts w:ascii="Century Gothic" w:hAnsi="Century Gothic"/>
                  </w:rPr>
                  <w:t>10/7/2014</w:t>
                </w:r>
              </w:p>
              <w:p w:rsidR="00BF583D" w:rsidRPr="00D5515B" w:rsidRDefault="00BF583D" w:rsidP="00BF583D">
                <w:pPr>
                  <w:rPr>
                    <w:rFonts w:ascii="Century Gothic" w:hAnsi="Century Gothic"/>
                    <w:sz w:val="16"/>
                    <w:szCs w:val="16"/>
                  </w:rPr>
                </w:pPr>
              </w:p>
              <w:p w:rsidR="00141779" w:rsidRDefault="00141779" w:rsidP="00BF583D">
                <w:pPr>
                  <w:rPr>
                    <w:rFonts w:ascii="Century Gothic" w:hAnsi="Century Gothic"/>
                  </w:rPr>
                </w:pPr>
              </w:p>
              <w:p w:rsidR="00CF135E" w:rsidRDefault="00141779" w:rsidP="00BF583D">
                <w:pPr>
                  <w:rPr>
                    <w:rFonts w:ascii="Century Gothic" w:hAnsi="Century Gothic"/>
                  </w:rPr>
                </w:pPr>
                <w:r>
                  <w:rPr>
                    <w:rFonts w:ascii="Century Gothic" w:hAnsi="Century Gothic"/>
                  </w:rPr>
                  <w:t>4</w:t>
                </w:r>
                <w:r w:rsidR="00BF583D">
                  <w:rPr>
                    <w:rFonts w:ascii="Century Gothic" w:hAnsi="Century Gothic"/>
                  </w:rPr>
                  <w:t>/</w:t>
                </w:r>
                <w:r>
                  <w:rPr>
                    <w:rFonts w:ascii="Century Gothic" w:hAnsi="Century Gothic"/>
                  </w:rPr>
                  <w:t>4</w:t>
                </w:r>
                <w:r w:rsidR="00BF583D">
                  <w:rPr>
                    <w:rFonts w:ascii="Century Gothic" w:hAnsi="Century Gothic"/>
                  </w:rPr>
                  <w:t>/201</w:t>
                </w:r>
                <w:r>
                  <w:rPr>
                    <w:rFonts w:ascii="Century Gothic" w:hAnsi="Century Gothic"/>
                  </w:rPr>
                  <w:t>6</w:t>
                </w:r>
              </w:p>
              <w:p w:rsidR="00CF135E" w:rsidRPr="00D5515B" w:rsidRDefault="00CF135E" w:rsidP="00BF583D">
                <w:pPr>
                  <w:rPr>
                    <w:rFonts w:ascii="Century Gothic" w:hAnsi="Century Gothic"/>
                    <w:sz w:val="16"/>
                    <w:szCs w:val="16"/>
                  </w:rPr>
                </w:pPr>
              </w:p>
              <w:p w:rsidR="004C26F6" w:rsidRDefault="00141779" w:rsidP="00BF583D">
                <w:pPr>
                  <w:rPr>
                    <w:rFonts w:ascii="Century Gothic" w:hAnsi="Century Gothic"/>
                  </w:rPr>
                </w:pPr>
                <w:r>
                  <w:rPr>
                    <w:rFonts w:ascii="Century Gothic" w:hAnsi="Century Gothic"/>
                  </w:rPr>
                  <w:t>2/20/2017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BF583D" w:rsidRDefault="00BF583D" w:rsidP="00BF583D">
                <w:pPr>
                  <w:rPr>
                    <w:rFonts w:ascii="Century Gothic" w:hAnsi="Century Gothic"/>
                  </w:rPr>
                </w:pPr>
                <w:r>
                  <w:rPr>
                    <w:rFonts w:ascii="Century Gothic" w:hAnsi="Century Gothic"/>
                  </w:rPr>
                  <w:t>City Council adopted the 2015-2019 CDBG and HOME Consolidated Plan and 2015 Annual Action Plan.</w:t>
                </w:r>
              </w:p>
              <w:p w:rsidR="00141779" w:rsidRPr="00D5515B" w:rsidRDefault="00141779" w:rsidP="00BF583D">
                <w:pPr>
                  <w:rPr>
                    <w:rFonts w:ascii="Century Gothic" w:hAnsi="Century Gothic"/>
                    <w:sz w:val="16"/>
                    <w:szCs w:val="16"/>
                  </w:rPr>
                </w:pPr>
              </w:p>
              <w:p w:rsidR="00CF135E" w:rsidRDefault="00BF583D" w:rsidP="00BF583D">
                <w:pPr>
                  <w:rPr>
                    <w:rFonts w:ascii="Century Gothic" w:hAnsi="Century Gothic"/>
                  </w:rPr>
                </w:pPr>
                <w:r>
                  <w:rPr>
                    <w:rFonts w:ascii="Century Gothic" w:hAnsi="Century Gothic"/>
                  </w:rPr>
                  <w:t>Council approved the FY 201</w:t>
                </w:r>
                <w:r w:rsidR="00141779">
                  <w:rPr>
                    <w:rFonts w:ascii="Century Gothic" w:hAnsi="Century Gothic"/>
                  </w:rPr>
                  <w:t>6</w:t>
                </w:r>
                <w:r>
                  <w:rPr>
                    <w:rFonts w:ascii="Century Gothic" w:hAnsi="Century Gothic"/>
                  </w:rPr>
                  <w:t xml:space="preserve"> Annual Action Plan.</w:t>
                </w:r>
              </w:p>
              <w:p w:rsidR="00141779" w:rsidRPr="00D5515B" w:rsidRDefault="00141779" w:rsidP="00BF583D">
                <w:pPr>
                  <w:rPr>
                    <w:rFonts w:ascii="Century Gothic" w:hAnsi="Century Gothic"/>
                    <w:sz w:val="16"/>
                    <w:szCs w:val="16"/>
                  </w:rPr>
                </w:pPr>
              </w:p>
              <w:p w:rsidR="004C26F6" w:rsidRDefault="00CF135E" w:rsidP="00BF583D">
                <w:pPr>
                  <w:rPr>
                    <w:rFonts w:ascii="Century Gothic" w:hAnsi="Century Gothic"/>
                  </w:rPr>
                </w:pPr>
                <w:r>
                  <w:rPr>
                    <w:rFonts w:ascii="Century Gothic" w:hAnsi="Century Gothic"/>
                  </w:rPr>
                  <w:t>Council set hearing f</w:t>
                </w:r>
                <w:r w:rsidR="00141779">
                  <w:rPr>
                    <w:rFonts w:ascii="Century Gothic" w:hAnsi="Century Gothic"/>
                  </w:rPr>
                  <w:t>or public comment on the FY 2016</w:t>
                </w:r>
                <w:r>
                  <w:rPr>
                    <w:rFonts w:ascii="Century Gothic" w:hAnsi="Century Gothic"/>
                  </w:rPr>
                  <w:t xml:space="preserve"> CAPER.</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02655A" w:rsidRPr="00791D82" w:rsidRDefault="0002655A"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02655A" w:rsidRPr="00791D82" w:rsidRDefault="0002655A"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bookmarkStart w:id="0" w:name="_GoBack"/>
      <w:bookmarkEnd w:id="0"/>
    </w:p>
    <w:sdt>
      <w:sdtPr>
        <w:rPr>
          <w:rFonts w:ascii="Century Gothic" w:hAnsi="Century Gothic"/>
        </w:rPr>
        <w:id w:val="-664856735"/>
        <w:placeholder>
          <w:docPart w:val="CB4940772BDC42B6AF75C605D844F3A8"/>
        </w:placeholder>
      </w:sdtPr>
      <w:sdtEndPr/>
      <w:sdtContent>
        <w:p w:rsidR="00344C59" w:rsidRPr="000D3382" w:rsidRDefault="00036EAD" w:rsidP="00C379A1">
          <w:pPr>
            <w:tabs>
              <w:tab w:val="left" w:pos="4530"/>
            </w:tabs>
            <w:rPr>
              <w:rFonts w:ascii="Century Gothic" w:hAnsi="Century Gothic"/>
            </w:rPr>
          </w:pPr>
          <w:r>
            <w:rPr>
              <w:rFonts w:ascii="Century Gothic" w:hAnsi="Century Gothic"/>
            </w:rPr>
            <w:t>Conduct the public hearing to accept public comment.</w:t>
          </w:r>
        </w:p>
      </w:sdtContent>
    </w:sdt>
    <w:sectPr w:rsidR="00344C59" w:rsidRPr="000D3382"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66" w:rsidRDefault="002E2366" w:rsidP="004A4C2D">
      <w:r>
        <w:separator/>
      </w:r>
    </w:p>
  </w:endnote>
  <w:endnote w:type="continuationSeparator" w:id="0">
    <w:p w:rsidR="002E2366" w:rsidRDefault="002E236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66" w:rsidRDefault="002E2366" w:rsidP="004A4C2D">
      <w:r>
        <w:separator/>
      </w:r>
    </w:p>
  </w:footnote>
  <w:footnote w:type="continuationSeparator" w:id="0">
    <w:p w:rsidR="002E2366" w:rsidRDefault="002E236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5A" w:rsidRPr="00FA2BBC" w:rsidRDefault="0002655A"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02655A" w:rsidRPr="00FA2BBC" w:rsidRDefault="0002655A" w:rsidP="002773F7">
    <w:pPr>
      <w:pStyle w:val="Header"/>
      <w:ind w:left="1080"/>
      <w:jc w:val="right"/>
      <w:rPr>
        <w:rFonts w:ascii="Century Gothic" w:hAnsi="Century Gothic"/>
      </w:rPr>
    </w:pPr>
    <w:r w:rsidRPr="00FA2BBC">
      <w:rPr>
        <w:rFonts w:ascii="Century Gothic" w:hAnsi="Century Gothic"/>
      </w:rPr>
      <w:t>701 East Broadway, Columbia, Missouri 65201</w:t>
    </w:r>
  </w:p>
  <w:p w:rsidR="0002655A" w:rsidRDefault="00026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05F1"/>
    <w:rsid w:val="0002655A"/>
    <w:rsid w:val="00036EAD"/>
    <w:rsid w:val="00045792"/>
    <w:rsid w:val="000476B6"/>
    <w:rsid w:val="000564F4"/>
    <w:rsid w:val="00081116"/>
    <w:rsid w:val="00092AD1"/>
    <w:rsid w:val="000D3382"/>
    <w:rsid w:val="000E2AA6"/>
    <w:rsid w:val="000E3DAB"/>
    <w:rsid w:val="0011191B"/>
    <w:rsid w:val="00141779"/>
    <w:rsid w:val="00160464"/>
    <w:rsid w:val="001E142A"/>
    <w:rsid w:val="001F1288"/>
    <w:rsid w:val="002773F7"/>
    <w:rsid w:val="002C289E"/>
    <w:rsid w:val="002D380E"/>
    <w:rsid w:val="002E2366"/>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4524"/>
    <w:rsid w:val="00625FCB"/>
    <w:rsid w:val="00646D99"/>
    <w:rsid w:val="006D6E9E"/>
    <w:rsid w:val="006F185A"/>
    <w:rsid w:val="00791D82"/>
    <w:rsid w:val="007F0073"/>
    <w:rsid w:val="008078EB"/>
    <w:rsid w:val="008372DA"/>
    <w:rsid w:val="00852DF7"/>
    <w:rsid w:val="00867B6A"/>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BF583D"/>
    <w:rsid w:val="00C26D7E"/>
    <w:rsid w:val="00C34BE7"/>
    <w:rsid w:val="00C379A1"/>
    <w:rsid w:val="00C93741"/>
    <w:rsid w:val="00CE4274"/>
    <w:rsid w:val="00CF135E"/>
    <w:rsid w:val="00D046B2"/>
    <w:rsid w:val="00D102C6"/>
    <w:rsid w:val="00D44CD9"/>
    <w:rsid w:val="00D5515B"/>
    <w:rsid w:val="00D85A25"/>
    <w:rsid w:val="00DC18D1"/>
    <w:rsid w:val="00DE2810"/>
    <w:rsid w:val="00DF4837"/>
    <w:rsid w:val="00E21F4E"/>
    <w:rsid w:val="00E2315D"/>
    <w:rsid w:val="00E518F5"/>
    <w:rsid w:val="00E52526"/>
    <w:rsid w:val="00E74D19"/>
    <w:rsid w:val="00EB1A02"/>
    <w:rsid w:val="00EC2404"/>
    <w:rsid w:val="00ED1548"/>
    <w:rsid w:val="00EE317A"/>
    <w:rsid w:val="00F214E8"/>
    <w:rsid w:val="00F30B5A"/>
    <w:rsid w:val="00F61EE4"/>
    <w:rsid w:val="00F6542D"/>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5635B4-58BC-412B-9EC3-BEE7579B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1162"/>
    <w:rsid w:val="001C12C4"/>
    <w:rsid w:val="001E1DFB"/>
    <w:rsid w:val="0024399D"/>
    <w:rsid w:val="002E6193"/>
    <w:rsid w:val="00331D1F"/>
    <w:rsid w:val="003C79DA"/>
    <w:rsid w:val="00412C43"/>
    <w:rsid w:val="0043257E"/>
    <w:rsid w:val="004500E7"/>
    <w:rsid w:val="004C0099"/>
    <w:rsid w:val="004F35AE"/>
    <w:rsid w:val="005F57FE"/>
    <w:rsid w:val="006259E9"/>
    <w:rsid w:val="006702CB"/>
    <w:rsid w:val="006C0A97"/>
    <w:rsid w:val="006E696C"/>
    <w:rsid w:val="00773276"/>
    <w:rsid w:val="008F5C85"/>
    <w:rsid w:val="009B3AA1"/>
    <w:rsid w:val="00AA58B4"/>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5F2B-AB52-42A2-9D14-9C15684D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2017-03-10T14:29:00Z</cp:lastPrinted>
  <dcterms:created xsi:type="dcterms:W3CDTF">2016-03-11T18:00:00Z</dcterms:created>
  <dcterms:modified xsi:type="dcterms:W3CDTF">2017-03-10T18:47:00Z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