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1762FB">
            <w:rPr>
              <w:rStyle w:val="Style3"/>
              <w:rFonts w:eastAsiaTheme="majorEastAsia"/>
            </w:rPr>
            <w:t>Community Development - Planning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762FB">
            <w:rPr>
              <w:rStyle w:val="Style3"/>
            </w:rPr>
            <w:t>February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1762FB">
            <w:rPr>
              <w:rStyle w:val="Style3"/>
              <w:rFonts w:eastAsiaTheme="majorEastAsia"/>
            </w:rPr>
            <w:t>Fox Lair, Plat No. 1A – Final Plat (Case #16-214)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1762F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Approval of</w:t>
          </w:r>
          <w:r w:rsidR="00CD56B5">
            <w:rPr>
              <w:rFonts w:ascii="Century Gothic" w:hAnsi="Century Gothic"/>
            </w:rPr>
            <w:t xml:space="preserve"> this</w:t>
          </w:r>
          <w:r>
            <w:rPr>
              <w:rFonts w:ascii="Century Gothic" w:hAnsi="Century Gothic"/>
            </w:rPr>
            <w:t xml:space="preserve"> request will result in the </w:t>
          </w:r>
          <w:r w:rsidR="00CD56B5">
            <w:rPr>
              <w:rFonts w:ascii="Century Gothic" w:hAnsi="Century Gothic"/>
            </w:rPr>
            <w:t>rearrangement of t</w:t>
          </w:r>
          <w:r w:rsidR="0096286F" w:rsidRPr="0096286F">
            <w:rPr>
              <w:rFonts w:ascii="Century Gothic" w:hAnsi="Century Gothic"/>
            </w:rPr>
            <w:t>hree</w:t>
          </w:r>
          <w:r w:rsidR="00CD56B5">
            <w:rPr>
              <w:rFonts w:ascii="Century Gothic" w:hAnsi="Century Gothic"/>
            </w:rPr>
            <w:t xml:space="preserve"> existing platted lots and the platting of previously </w:t>
          </w:r>
          <w:proofErr w:type="spellStart"/>
          <w:r w:rsidR="00CD56B5">
            <w:rPr>
              <w:rFonts w:ascii="Century Gothic" w:hAnsi="Century Gothic"/>
            </w:rPr>
            <w:t>unplatted</w:t>
          </w:r>
          <w:proofErr w:type="spellEnd"/>
          <w:r w:rsidR="00CD56B5">
            <w:rPr>
              <w:rFonts w:ascii="Century Gothic" w:hAnsi="Century Gothic"/>
            </w:rPr>
            <w:t xml:space="preserve"> property at the southern terminus of </w:t>
          </w:r>
          <w:r w:rsidR="00CD56B5" w:rsidRPr="0096286F">
            <w:rPr>
              <w:rFonts w:ascii="Century Gothic" w:hAnsi="Century Gothic"/>
            </w:rPr>
            <w:t xml:space="preserve">Dolly </w:t>
          </w:r>
          <w:proofErr w:type="spellStart"/>
          <w:r w:rsidR="00CD56B5" w:rsidRPr="0096286F">
            <w:rPr>
              <w:rFonts w:ascii="Century Gothic" w:hAnsi="Century Gothic"/>
            </w:rPr>
            <w:t>Varden</w:t>
          </w:r>
          <w:proofErr w:type="spellEnd"/>
          <w:r w:rsidR="00CD56B5" w:rsidRPr="0096286F">
            <w:rPr>
              <w:rFonts w:ascii="Century Gothic" w:hAnsi="Century Gothic"/>
            </w:rPr>
            <w:t xml:space="preserve"> Drive, </w:t>
          </w:r>
          <w:r w:rsidR="00CD56B5">
            <w:rPr>
              <w:rFonts w:ascii="Century Gothic" w:hAnsi="Century Gothic"/>
            </w:rPr>
            <w:t>a</w:t>
          </w:r>
          <w:r w:rsidR="00CD56B5" w:rsidRPr="0096286F">
            <w:rPr>
              <w:rFonts w:ascii="Century Gothic" w:hAnsi="Century Gothic"/>
            </w:rPr>
            <w:t xml:space="preserve">pproximately 1,000 feet south of White Fish Drive.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F22102" w:rsidRDefault="0096286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applicant, </w:t>
          </w:r>
          <w:r w:rsidRPr="0096286F">
            <w:rPr>
              <w:rFonts w:ascii="Century Gothic" w:hAnsi="Century Gothic"/>
            </w:rPr>
            <w:t>Crockett Engineering Consultants on b</w:t>
          </w:r>
          <w:r>
            <w:rPr>
              <w:rFonts w:ascii="Century Gothic" w:hAnsi="Century Gothic"/>
            </w:rPr>
            <w:t xml:space="preserve">ehalf of Mill Creek Manor, Inc., is requesting to replat portions of an existing plat to allow for construction of single-family homes on three lots.  </w:t>
          </w:r>
          <w:r w:rsidR="00452EF5">
            <w:rPr>
              <w:rFonts w:ascii="Century Gothic" w:hAnsi="Century Gothic"/>
            </w:rPr>
            <w:t xml:space="preserve">The existing </w:t>
          </w:r>
          <w:r w:rsidR="00F22102">
            <w:rPr>
              <w:rFonts w:ascii="Century Gothic" w:hAnsi="Century Gothic"/>
            </w:rPr>
            <w:t xml:space="preserve">plat, Fox Lair, Plat No. 1(attached), includes </w:t>
          </w:r>
          <w:r w:rsidR="00452EF5">
            <w:rPr>
              <w:rFonts w:ascii="Century Gothic" w:hAnsi="Century Gothic"/>
            </w:rPr>
            <w:t>terrain with grades that would make construction difficult</w:t>
          </w:r>
          <w:r w:rsidR="00F22102">
            <w:rPr>
              <w:rFonts w:ascii="Century Gothic" w:hAnsi="Century Gothic"/>
            </w:rPr>
            <w:t xml:space="preserve"> on the east portion of Lot 3</w:t>
          </w:r>
          <w:r w:rsidR="00452EF5">
            <w:rPr>
              <w:rFonts w:ascii="Century Gothic" w:hAnsi="Century Gothic"/>
            </w:rPr>
            <w:t xml:space="preserve">.  The </w:t>
          </w:r>
          <w:proofErr w:type="spellStart"/>
          <w:r w:rsidR="00452EF5">
            <w:rPr>
              <w:rFonts w:ascii="Century Gothic" w:hAnsi="Century Gothic"/>
            </w:rPr>
            <w:t>replat</w:t>
          </w:r>
          <w:proofErr w:type="spellEnd"/>
          <w:r w:rsidR="00452EF5">
            <w:rPr>
              <w:rFonts w:ascii="Century Gothic" w:hAnsi="Century Gothic"/>
            </w:rPr>
            <w:t xml:space="preserve"> essentially</w:t>
          </w:r>
          <w:r w:rsidR="00A16024">
            <w:rPr>
              <w:rFonts w:ascii="Century Gothic" w:hAnsi="Century Gothic"/>
            </w:rPr>
            <w:t xml:space="preserve"> reduces the size of Lots</w:t>
          </w:r>
          <w:r w:rsidR="00452EF5">
            <w:rPr>
              <w:rFonts w:ascii="Century Gothic" w:hAnsi="Century Gothic"/>
            </w:rPr>
            <w:t xml:space="preserve"> 1-3 of Plat No. 1 </w:t>
          </w:r>
          <w:r w:rsidR="00F22102">
            <w:rPr>
              <w:rFonts w:ascii="Century Gothic" w:hAnsi="Century Gothic"/>
            </w:rPr>
            <w:t xml:space="preserve">and moves them </w:t>
          </w:r>
          <w:r w:rsidR="00452EF5">
            <w:rPr>
              <w:rFonts w:ascii="Century Gothic" w:hAnsi="Century Gothic"/>
            </w:rPr>
            <w:t>to the west, away from the steep terrain.  The new</w:t>
          </w:r>
          <w:bookmarkStart w:id="0" w:name="_GoBack"/>
          <w:bookmarkEnd w:id="0"/>
          <w:r w:rsidR="00F22102">
            <w:rPr>
              <w:rFonts w:ascii="Century Gothic" w:hAnsi="Century Gothic"/>
            </w:rPr>
            <w:t xml:space="preserve"> proposed</w:t>
          </w:r>
          <w:r w:rsidR="00452EF5">
            <w:rPr>
              <w:rFonts w:ascii="Century Gothic" w:hAnsi="Century Gothic"/>
            </w:rPr>
            <w:t xml:space="preserve"> Lot 103 also includes additional property that was previously unplatted.  </w:t>
          </w:r>
          <w:r w:rsidR="00F22102">
            <w:rPr>
              <w:rFonts w:ascii="Century Gothic" w:hAnsi="Century Gothic"/>
            </w:rPr>
            <w:t xml:space="preserve">No additional residential lots are created with this plat.  </w:t>
          </w:r>
        </w:p>
        <w:p w:rsidR="00452EF5" w:rsidRDefault="00452EF5" w:rsidP="00CE4274">
          <w:pPr>
            <w:rPr>
              <w:rFonts w:ascii="Century Gothic" w:hAnsi="Century Gothic"/>
            </w:rPr>
          </w:pPr>
        </w:p>
        <w:p w:rsidR="00452EF5" w:rsidRDefault="00452EF5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As a result of the new layout, an existing sewer main is required t</w:t>
          </w:r>
          <w:r w:rsidR="00F22102">
            <w:rPr>
              <w:rFonts w:ascii="Century Gothic" w:hAnsi="Century Gothic"/>
            </w:rPr>
            <w:t>o be relocated within Lot 103.  A</w:t>
          </w:r>
          <w:r>
            <w:rPr>
              <w:rFonts w:ascii="Century Gothic" w:hAnsi="Century Gothic"/>
            </w:rPr>
            <w:t xml:space="preserve">dditional easements </w:t>
          </w:r>
          <w:r w:rsidR="00F22102">
            <w:rPr>
              <w:rFonts w:ascii="Century Gothic" w:hAnsi="Century Gothic"/>
            </w:rPr>
            <w:t xml:space="preserve">for the sewer main </w:t>
          </w:r>
          <w:r>
            <w:rPr>
              <w:rFonts w:ascii="Century Gothic" w:hAnsi="Century Gothic"/>
            </w:rPr>
            <w:t>are dedicated with this plat</w:t>
          </w:r>
          <w:r w:rsidR="00F22102">
            <w:rPr>
              <w:rFonts w:ascii="Century Gothic" w:hAnsi="Century Gothic"/>
            </w:rPr>
            <w:t>, and c</w:t>
          </w:r>
          <w:r>
            <w:rPr>
              <w:rFonts w:ascii="Century Gothic" w:hAnsi="Century Gothic"/>
            </w:rPr>
            <w:t xml:space="preserve">onstruction plans for the new main have been approved.  Additional right of way is also being dedicated to accommodate an offset cul-de-sac, and required easements are provided on the plat along the new right of way.  </w:t>
          </w:r>
        </w:p>
        <w:p w:rsidR="00452EF5" w:rsidRDefault="00452EF5" w:rsidP="00CE4274">
          <w:pPr>
            <w:rPr>
              <w:rFonts w:ascii="Century Gothic" w:hAnsi="Century Gothic"/>
            </w:rPr>
          </w:pPr>
        </w:p>
        <w:p w:rsidR="00CE4274" w:rsidRDefault="00452EF5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plat has been reviewed by </w:t>
          </w:r>
          <w:r w:rsidR="00F22102">
            <w:rPr>
              <w:rFonts w:ascii="Century Gothic" w:hAnsi="Century Gothic"/>
            </w:rPr>
            <w:t xml:space="preserve">all relevant departments and has been found to be consistent with all subdivision and zoning regulations.  </w:t>
          </w:r>
          <w:r w:rsidR="00CD56B5">
            <w:rPr>
              <w:rFonts w:ascii="Century Gothic" w:hAnsi="Century Gothic"/>
            </w:rPr>
            <w:t>L</w:t>
          </w:r>
          <w:r w:rsidR="00F22102" w:rsidRPr="00F22102">
            <w:rPr>
              <w:rFonts w:ascii="Century Gothic" w:hAnsi="Century Gothic"/>
            </w:rPr>
            <w:t xml:space="preserve">ocator maps, </w:t>
          </w:r>
          <w:r w:rsidR="00F22102">
            <w:rPr>
              <w:rFonts w:ascii="Century Gothic" w:hAnsi="Century Gothic"/>
            </w:rPr>
            <w:t xml:space="preserve">proposed </w:t>
          </w:r>
          <w:r w:rsidR="00F22102" w:rsidRPr="00F22102">
            <w:rPr>
              <w:rFonts w:ascii="Century Gothic" w:hAnsi="Century Gothic"/>
            </w:rPr>
            <w:t>final plat,</w:t>
          </w:r>
          <w:r w:rsidR="00F22102">
            <w:rPr>
              <w:rFonts w:ascii="Century Gothic" w:hAnsi="Century Gothic"/>
            </w:rPr>
            <w:t xml:space="preserve"> and the previously approved final plat</w:t>
          </w:r>
          <w:r w:rsidR="00F22102" w:rsidRPr="00F22102">
            <w:rPr>
              <w:rFonts w:ascii="Century Gothic" w:hAnsi="Century Gothic"/>
            </w:rPr>
            <w:t xml:space="preserve"> are attached.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F22102" w:rsidRPr="00F22102">
            <w:rPr>
              <w:rStyle w:val="Style3"/>
            </w:rPr>
            <w:t>No impacts are anticipated within the next two fiscal years.  Installation of required public infrastructure will be at the expense of the applicant.</w:t>
          </w:r>
        </w:sdtContent>
      </w:sdt>
    </w:p>
    <w:p w:rsidR="00F22102" w:rsidRDefault="00F22102">
      <w:pPr>
        <w:rPr>
          <w:rFonts w:ascii="Century Gothic" w:hAnsi="Century Gothic"/>
        </w:rPr>
      </w:pP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Style3"/>
          </w:rPr>
        </w:sdtEndPr>
        <w:sdtContent>
          <w:r w:rsidR="00F22102" w:rsidRPr="00F22102">
            <w:rPr>
              <w:rStyle w:val="Style3"/>
            </w:rPr>
            <w:t>Long-term fiscal impacts will consist of increased expenses in public infrastructure maintenance and provision of public services.  These costs may or may not be off-set by increased tax collections and user fees.</w:t>
          </w:r>
        </w:sdtContent>
      </w:sdt>
    </w:p>
    <w:p w:rsidR="00CD56B5" w:rsidRDefault="00CD56B5">
      <w:pPr>
        <w:rPr>
          <w:rFonts w:ascii="Century Gothic" w:hAnsi="Century Gothic"/>
        </w:rPr>
      </w:pPr>
    </w:p>
    <w:p w:rsidR="00CD56B5" w:rsidRDefault="00CD56B5">
      <w:pPr>
        <w:rPr>
          <w:rFonts w:ascii="Century Gothic" w:hAnsi="Century Gothic"/>
        </w:rPr>
      </w:pPr>
    </w:p>
    <w:p w:rsidR="00CD56B5" w:rsidRDefault="00CD56B5">
      <w:pPr>
        <w:rPr>
          <w:rFonts w:ascii="Century Gothic" w:hAnsi="Century Gothic"/>
        </w:rPr>
      </w:pPr>
    </w:p>
    <w:p w:rsidR="00CD56B5" w:rsidRDefault="00CD56B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F47CE1" w:rsidRDefault="009F1D64" w:rsidP="00F47CE1">
      <w:pPr>
        <w:rPr>
          <w:rFonts w:ascii="Century Gothic" w:hAnsi="Century Gothic"/>
        </w:rPr>
      </w:pPr>
      <w:hyperlink r:id="rId7" w:history="1">
        <w:r w:rsidR="00F47CE1" w:rsidRPr="009B0B65">
          <w:rPr>
            <w:rStyle w:val="Hyperlink"/>
            <w:rFonts w:ascii="Century Gothic" w:hAnsi="Century Gothic"/>
          </w:rPr>
          <w:t>Vision Impact</w:t>
        </w:r>
        <w:r w:rsidR="00F47CE1">
          <w:rPr>
            <w:rStyle w:val="Hyperlink"/>
            <w:rFonts w:ascii="Century Gothic" w:hAnsi="Century Gothic"/>
          </w:rPr>
          <w:t>s</w:t>
        </w:r>
        <w:r w:rsidR="00F47CE1" w:rsidRPr="009B0B65">
          <w:rPr>
            <w:rStyle w:val="Hyperlink"/>
            <w:rFonts w:ascii="Century Gothic" w:hAnsi="Century Gothic"/>
          </w:rPr>
          <w:t>:</w:t>
        </w:r>
      </w:hyperlink>
      <w:r w:rsidR="00F47CE1">
        <w:rPr>
          <w:rFonts w:ascii="Century Gothic" w:hAnsi="Century Gothic"/>
        </w:rPr>
        <w:t xml:space="preserve">  </w:t>
      </w:r>
    </w:p>
    <w:p w:rsidR="00F47CE1" w:rsidRDefault="00F47CE1" w:rsidP="00F47CE1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D6031FF26F4D4AB19EC8AF0FE663589E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Development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0B9247B61F0A47F4AB8ABE64E51A375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ABC4964878724F3D8274FE91C9926FAE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F47CE1" w:rsidRDefault="00F47CE1" w:rsidP="00F47CE1"/>
    <w:p w:rsidR="00F47CE1" w:rsidRDefault="009F1D64" w:rsidP="00F47CE1">
      <w:pPr>
        <w:rPr>
          <w:rFonts w:ascii="Century Gothic" w:hAnsi="Century Gothic"/>
        </w:rPr>
      </w:pPr>
      <w:hyperlink r:id="rId8" w:history="1">
        <w:r w:rsidR="00F47CE1" w:rsidRPr="00995129">
          <w:rPr>
            <w:rStyle w:val="Hyperlink"/>
            <w:rFonts w:ascii="Century Gothic" w:hAnsi="Century Gothic"/>
          </w:rPr>
          <w:t>Strategic Plan</w:t>
        </w:r>
        <w:r w:rsidR="00F47CE1">
          <w:rPr>
            <w:rStyle w:val="Hyperlink"/>
            <w:rFonts w:ascii="Century Gothic" w:hAnsi="Century Gothic"/>
          </w:rPr>
          <w:t xml:space="preserve"> Impacts</w:t>
        </w:r>
        <w:r w:rsidR="00F47CE1" w:rsidRPr="00995129">
          <w:rPr>
            <w:rStyle w:val="Hyperlink"/>
            <w:rFonts w:ascii="Century Gothic" w:hAnsi="Century Gothic"/>
          </w:rPr>
          <w:t>:</w:t>
        </w:r>
      </w:hyperlink>
      <w:r w:rsidR="00F47CE1">
        <w:rPr>
          <w:rFonts w:ascii="Century Gothic" w:hAnsi="Century Gothic"/>
        </w:rPr>
        <w:t xml:space="preserve">  </w:t>
      </w:r>
    </w:p>
    <w:p w:rsidR="00F47CE1" w:rsidRPr="00C34BE7" w:rsidRDefault="00F47CE1" w:rsidP="00F47CE1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EE0818DE34E44D7E99F1267D0FE5F8C5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8B78CD86312845C6AE6DF3A35901BF21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36DB48BA31F64D9799595622007526D1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F47CE1" w:rsidRDefault="00F47CE1" w:rsidP="00F47CE1">
      <w:pPr>
        <w:rPr>
          <w:rFonts w:ascii="Century Gothic" w:hAnsi="Century Gothic"/>
        </w:rPr>
      </w:pPr>
    </w:p>
    <w:p w:rsidR="00F47CE1" w:rsidRPr="000E3DAB" w:rsidRDefault="00F47CE1" w:rsidP="00F47CE1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F47CE1" w:rsidRDefault="00F47CE1" w:rsidP="00F47CE1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195ADC9535EB47BE82D8648DB1A107CF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Land Use &amp; Growth Management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5FEE8C0BE6F2476F80CF3C22125D2FE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0EA9344347D4456A8F16FE245616AB9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F47CE1" w:rsidP="00F47CE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1/20/2009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F47CE1" w:rsidP="00F47CE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Ordinance #20163: Approved final plat of Fox Lair, Plat No. 1.</w:t>
                </w:r>
              </w:p>
            </w:tc>
          </w:sdtContent>
        </w:sdt>
      </w:tr>
      <w:tr w:rsidR="00F47CE1" w:rsidTr="004C26F6">
        <w:tc>
          <w:tcPr>
            <w:tcW w:w="2790" w:type="dxa"/>
            <w:shd w:val="clear" w:color="auto" w:fill="auto"/>
          </w:tcPr>
          <w:p w:rsidR="00F47CE1" w:rsidRDefault="00F47CE1" w:rsidP="00F47C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2/19/2007</w:t>
            </w:r>
          </w:p>
        </w:tc>
        <w:tc>
          <w:tcPr>
            <w:tcW w:w="7830" w:type="dxa"/>
            <w:shd w:val="clear" w:color="auto" w:fill="auto"/>
          </w:tcPr>
          <w:p w:rsidR="00F47CE1" w:rsidRDefault="00F47CE1" w:rsidP="00F47CE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Resolution #50-07: Approved preliminary plat of Fox Lair, Preliminary Plat No. 1</w:t>
            </w:r>
          </w:p>
        </w:tc>
      </w:tr>
    </w:tbl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p w:rsidR="005F5F19" w:rsidRDefault="005F5F19" w:rsidP="00C379A1">
      <w:pPr>
        <w:tabs>
          <w:tab w:val="left" w:pos="4530"/>
        </w:tabs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F47CE1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Approve the final plat of Fox Lair, Plat No. 1A.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64" w:rsidRDefault="009F1D64" w:rsidP="004A4C2D">
      <w:r>
        <w:separator/>
      </w:r>
    </w:p>
  </w:endnote>
  <w:endnote w:type="continuationSeparator" w:id="0">
    <w:p w:rsidR="009F1D64" w:rsidRDefault="009F1D64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64" w:rsidRDefault="009F1D64" w:rsidP="004A4C2D">
      <w:r>
        <w:separator/>
      </w:r>
    </w:p>
  </w:footnote>
  <w:footnote w:type="continuationSeparator" w:id="0">
    <w:p w:rsidR="009F1D64" w:rsidRDefault="009F1D64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62F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52EF5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5F19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42001"/>
    <w:rsid w:val="00945C5D"/>
    <w:rsid w:val="00952E34"/>
    <w:rsid w:val="0096286F"/>
    <w:rsid w:val="00970DAF"/>
    <w:rsid w:val="00974B88"/>
    <w:rsid w:val="009851C2"/>
    <w:rsid w:val="00992DCF"/>
    <w:rsid w:val="00995129"/>
    <w:rsid w:val="009B0B65"/>
    <w:rsid w:val="009B5E9C"/>
    <w:rsid w:val="009D5168"/>
    <w:rsid w:val="009F1D64"/>
    <w:rsid w:val="00A16024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D56B5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22102"/>
    <w:rsid w:val="00F30B5A"/>
    <w:rsid w:val="00F47CE1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CC0D7F-A385-466B-ADEF-3F44FBDE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D6031FF26F4D4AB19EC8AF0FE6635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F102A-4581-470C-B387-D5A6197DC1C5}"/>
      </w:docPartPr>
      <w:docPartBody>
        <w:p w:rsidR="00C24A06" w:rsidRDefault="00BF76FB" w:rsidP="00BF76FB">
          <w:pPr>
            <w:pStyle w:val="D6031FF26F4D4AB19EC8AF0FE663589E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0B9247B61F0A47F4AB8ABE64E51A3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6B7D2-741B-4A6B-8BC8-F9D941227719}"/>
      </w:docPartPr>
      <w:docPartBody>
        <w:p w:rsidR="00C24A06" w:rsidRDefault="00BF76FB" w:rsidP="00BF76FB">
          <w:pPr>
            <w:pStyle w:val="0B9247B61F0A47F4AB8ABE64E51A3757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ABC4964878724F3D8274FE91C9926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F94A4-2802-49CE-A7A1-DF76B9E796E3}"/>
      </w:docPartPr>
      <w:docPartBody>
        <w:p w:rsidR="00C24A06" w:rsidRDefault="00BF76FB" w:rsidP="00BF76FB">
          <w:pPr>
            <w:pStyle w:val="ABC4964878724F3D8274FE91C9926FAE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EE0818DE34E44D7E99F1267D0FE5F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3A29-1368-4FD1-9A9D-EC3C643743CA}"/>
      </w:docPartPr>
      <w:docPartBody>
        <w:p w:rsidR="00C24A06" w:rsidRDefault="00BF76FB" w:rsidP="00BF76FB">
          <w:pPr>
            <w:pStyle w:val="EE0818DE34E44D7E99F1267D0FE5F8C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8B78CD86312845C6AE6DF3A35901B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F582F-82E0-470C-B379-0993EE55C38F}"/>
      </w:docPartPr>
      <w:docPartBody>
        <w:p w:rsidR="00C24A06" w:rsidRDefault="00BF76FB" w:rsidP="00BF76FB">
          <w:pPr>
            <w:pStyle w:val="8B78CD86312845C6AE6DF3A35901BF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36DB48BA31F64D979959562200752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1CCF0-834B-464A-8FB9-8B4D4DB0C33E}"/>
      </w:docPartPr>
      <w:docPartBody>
        <w:p w:rsidR="00C24A06" w:rsidRDefault="00BF76FB" w:rsidP="00BF76FB">
          <w:pPr>
            <w:pStyle w:val="36DB48BA31F64D9799595622007526D1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195ADC9535EB47BE82D8648DB1A10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DA523-F0D9-460D-AD2A-8087C17FB6A6}"/>
      </w:docPartPr>
      <w:docPartBody>
        <w:p w:rsidR="00C24A06" w:rsidRDefault="00BF76FB" w:rsidP="00BF76FB">
          <w:pPr>
            <w:pStyle w:val="195ADC9535EB47BE82D8648DB1A107CF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5FEE8C0BE6F2476F80CF3C22125D2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3BB24-F1D1-4FE1-A5A5-0CEAB85A8B40}"/>
      </w:docPartPr>
      <w:docPartBody>
        <w:p w:rsidR="00C24A06" w:rsidRDefault="00BF76FB" w:rsidP="00BF76FB">
          <w:pPr>
            <w:pStyle w:val="5FEE8C0BE6F2476F80CF3C22125D2FE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0EA9344347D4456A8F16FE245616A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3C0F9-25D3-4AF3-BEB3-A675C708BF07}"/>
      </w:docPartPr>
      <w:docPartBody>
        <w:p w:rsidR="00C24A06" w:rsidRDefault="00BF76FB" w:rsidP="00BF76FB">
          <w:pPr>
            <w:pStyle w:val="0EA9344347D4456A8F16FE245616AB9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2360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BF76FB"/>
    <w:rsid w:val="00C22202"/>
    <w:rsid w:val="00C24A06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BF76FB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31FF26F4D4AB19EC8AF0FE663589E">
    <w:name w:val="D6031FF26F4D4AB19EC8AF0FE663589E"/>
    <w:rsid w:val="00BF76FB"/>
  </w:style>
  <w:style w:type="paragraph" w:customStyle="1" w:styleId="0B9247B61F0A47F4AB8ABE64E51A3757">
    <w:name w:val="0B9247B61F0A47F4AB8ABE64E51A3757"/>
    <w:rsid w:val="00BF76FB"/>
  </w:style>
  <w:style w:type="paragraph" w:customStyle="1" w:styleId="ABC4964878724F3D8274FE91C9926FAE">
    <w:name w:val="ABC4964878724F3D8274FE91C9926FAE"/>
    <w:rsid w:val="00BF76FB"/>
  </w:style>
  <w:style w:type="paragraph" w:customStyle="1" w:styleId="EE0818DE34E44D7E99F1267D0FE5F8C5">
    <w:name w:val="EE0818DE34E44D7E99F1267D0FE5F8C5"/>
    <w:rsid w:val="00BF76FB"/>
  </w:style>
  <w:style w:type="paragraph" w:customStyle="1" w:styleId="8B78CD86312845C6AE6DF3A35901BF21">
    <w:name w:val="8B78CD86312845C6AE6DF3A35901BF21"/>
    <w:rsid w:val="00BF76FB"/>
  </w:style>
  <w:style w:type="paragraph" w:customStyle="1" w:styleId="36DB48BA31F64D9799595622007526D1">
    <w:name w:val="36DB48BA31F64D9799595622007526D1"/>
    <w:rsid w:val="00BF76FB"/>
  </w:style>
  <w:style w:type="paragraph" w:customStyle="1" w:styleId="195ADC9535EB47BE82D8648DB1A107CF">
    <w:name w:val="195ADC9535EB47BE82D8648DB1A107CF"/>
    <w:rsid w:val="00BF76FB"/>
  </w:style>
  <w:style w:type="paragraph" w:customStyle="1" w:styleId="5FEE8C0BE6F2476F80CF3C22125D2FE1">
    <w:name w:val="5FEE8C0BE6F2476F80CF3C22125D2FE1"/>
    <w:rsid w:val="00BF76FB"/>
  </w:style>
  <w:style w:type="paragraph" w:customStyle="1" w:styleId="0EA9344347D4456A8F16FE245616AB98">
    <w:name w:val="0EA9344347D4456A8F16FE245616AB98"/>
    <w:rsid w:val="00BF7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62922-5BBF-41BB-8672-27E82E9C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TTTEDDY</cp:lastModifiedBy>
  <cp:revision>4</cp:revision>
  <cp:lastPrinted>2013-11-01T14:38:00Z</cp:lastPrinted>
  <dcterms:created xsi:type="dcterms:W3CDTF">2017-01-23T16:55:00Z</dcterms:created>
  <dcterms:modified xsi:type="dcterms:W3CDTF">2017-01-27T20:57:00Z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