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7F3629">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1-03T00:00:00Z">
            <w:dateFormat w:val="MMMM d, yyyy"/>
            <w:lid w:val="en-US"/>
            <w:storeMappedDataAs w:val="dateTime"/>
            <w:calendar w:val="gregorian"/>
          </w:date>
        </w:sdtPr>
        <w:sdtEndPr>
          <w:rPr>
            <w:rStyle w:val="DefaultParagraphFont"/>
            <w:rFonts w:ascii="Times New Roman" w:hAnsi="Times New Roman"/>
          </w:rPr>
        </w:sdtEndPr>
        <w:sdtContent>
          <w:r w:rsidR="00300EB5">
            <w:rPr>
              <w:rStyle w:val="Style3"/>
            </w:rPr>
            <w:t>January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737CC">
            <w:rPr>
              <w:rStyle w:val="Style3"/>
              <w:rFonts w:eastAsiaTheme="majorEastAsia"/>
            </w:rPr>
            <w:t>Kelly Farms Rezoning and PUD Development Plan (Case 17-1)</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bookmarkStart w:id="0" w:name="_GoBack"/>
      <w:bookmarkEnd w:id="0"/>
    </w:p>
    <w:sdt>
      <w:sdtPr>
        <w:rPr>
          <w:rFonts w:ascii="Century Gothic" w:hAnsi="Century Gothic"/>
        </w:rPr>
        <w:id w:val="-197472089"/>
        <w:placeholder>
          <w:docPart w:val="AACEFEF4204444CC8A17346A92831BCD"/>
        </w:placeholder>
      </w:sdtPr>
      <w:sdtEndPr/>
      <w:sdtContent>
        <w:p w:rsidR="00EB1A02" w:rsidRDefault="00C737CC">
          <w:pPr>
            <w:rPr>
              <w:rFonts w:ascii="Century Gothic" w:hAnsi="Century Gothic"/>
            </w:rPr>
          </w:pPr>
          <w:r>
            <w:rPr>
              <w:rFonts w:ascii="Century Gothic" w:hAnsi="Century Gothic"/>
            </w:rPr>
            <w:t>Approval of this request will result in the rezoning of approximately 43 acres from A-1 to PUD 10</w:t>
          </w:r>
          <w:r w:rsidR="00B17CCC">
            <w:rPr>
              <w:rFonts w:ascii="Century Gothic" w:hAnsi="Century Gothic"/>
            </w:rPr>
            <w:t xml:space="preserve"> and approve a PUD Development Plan to be known as “Kelly Farms” which will permit the construction of 384 multi-family units (524 beds) and 10 single-family </w:t>
          </w:r>
          <w:r w:rsidR="00300EB5">
            <w:rPr>
              <w:rFonts w:ascii="Century Gothic" w:hAnsi="Century Gothic"/>
            </w:rPr>
            <w:t>homes</w:t>
          </w:r>
          <w:r w:rsidR="00B17CCC">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F31ED6" w:rsidRDefault="00B17CCC" w:rsidP="00CE4274">
          <w:pPr>
            <w:rPr>
              <w:rFonts w:ascii="Century Gothic" w:hAnsi="Century Gothic"/>
            </w:rPr>
          </w:pPr>
          <w:r>
            <w:rPr>
              <w:rFonts w:ascii="Century Gothic" w:hAnsi="Century Gothic"/>
            </w:rPr>
            <w:t>The applicant is seeking rezoning of the subject tract from A-1 to PUD 10 and approval of</w:t>
          </w:r>
          <w:r w:rsidR="00F31ED6">
            <w:rPr>
              <w:rFonts w:ascii="Century Gothic" w:hAnsi="Century Gothic"/>
            </w:rPr>
            <w:t xml:space="preserve"> a</w:t>
          </w:r>
          <w:r>
            <w:rPr>
              <w:rFonts w:ascii="Century Gothic" w:hAnsi="Century Gothic"/>
            </w:rPr>
            <w:t xml:space="preserve"> PUD Development Plan </w:t>
          </w:r>
          <w:r w:rsidR="00F31ED6">
            <w:rPr>
              <w:rFonts w:ascii="Century Gothic" w:hAnsi="Century Gothic"/>
            </w:rPr>
            <w:t xml:space="preserve">in order to </w:t>
          </w:r>
          <w:r>
            <w:rPr>
              <w:rFonts w:ascii="Century Gothic" w:hAnsi="Century Gothic"/>
            </w:rPr>
            <w:t xml:space="preserve">permit the development of a mixed-use multi-family and single-family project. </w:t>
          </w:r>
          <w:r w:rsidR="00F31ED6">
            <w:rPr>
              <w:rFonts w:ascii="Century Gothic" w:hAnsi="Century Gothic"/>
            </w:rPr>
            <w:t xml:space="preserve"> This tract has been the site of several previously unsuccessful multi-family development proposals that were focused on prov</w:t>
          </w:r>
          <w:r w:rsidR="00D42D7E">
            <w:rPr>
              <w:rFonts w:ascii="Century Gothic" w:hAnsi="Century Gothic"/>
            </w:rPr>
            <w:t xml:space="preserve">iding housing designed for college </w:t>
          </w:r>
          <w:r w:rsidR="00F31ED6">
            <w:rPr>
              <w:rFonts w:ascii="Century Gothic" w:hAnsi="Century Gothic"/>
            </w:rPr>
            <w:t xml:space="preserve">students.   </w:t>
          </w:r>
        </w:p>
        <w:p w:rsidR="00F31ED6" w:rsidRDefault="00F31ED6" w:rsidP="00CE4274">
          <w:pPr>
            <w:rPr>
              <w:rFonts w:ascii="Century Gothic" w:hAnsi="Century Gothic"/>
            </w:rPr>
          </w:pPr>
        </w:p>
        <w:p w:rsidR="00F31ED6" w:rsidRDefault="00B17CCC" w:rsidP="00CE4274">
          <w:pPr>
            <w:rPr>
              <w:rFonts w:ascii="Century Gothic" w:hAnsi="Century Gothic"/>
            </w:rPr>
          </w:pPr>
          <w:r>
            <w:rPr>
              <w:rFonts w:ascii="Century Gothic" w:hAnsi="Century Gothic"/>
            </w:rPr>
            <w:t xml:space="preserve">The </w:t>
          </w:r>
          <w:r w:rsidR="00F31ED6">
            <w:rPr>
              <w:rFonts w:ascii="Century Gothic" w:hAnsi="Century Gothic"/>
            </w:rPr>
            <w:t xml:space="preserve">current application </w:t>
          </w:r>
          <w:r>
            <w:rPr>
              <w:rFonts w:ascii="Century Gothic" w:hAnsi="Century Gothic"/>
            </w:rPr>
            <w:t>propose</w:t>
          </w:r>
          <w:r w:rsidR="00F31ED6">
            <w:rPr>
              <w:rFonts w:ascii="Century Gothic" w:hAnsi="Century Gothic"/>
            </w:rPr>
            <w:t xml:space="preserve">s a mix of </w:t>
          </w:r>
          <w:r>
            <w:rPr>
              <w:rFonts w:ascii="Century Gothic" w:hAnsi="Century Gothic"/>
            </w:rPr>
            <w:t xml:space="preserve">multi-family </w:t>
          </w:r>
          <w:r w:rsidR="00F31ED6">
            <w:rPr>
              <w:rFonts w:ascii="Century Gothic" w:hAnsi="Century Gothic"/>
            </w:rPr>
            <w:t xml:space="preserve">and single-family housing.  Lot 1 will </w:t>
          </w:r>
          <w:r>
            <w:rPr>
              <w:rFonts w:ascii="Century Gothic" w:hAnsi="Century Gothic"/>
            </w:rPr>
            <w:t xml:space="preserve">consist of </w:t>
          </w:r>
          <w:r w:rsidR="0091628B">
            <w:rPr>
              <w:rFonts w:ascii="Century Gothic" w:hAnsi="Century Gothic"/>
            </w:rPr>
            <w:t xml:space="preserve">a total of 384 multi-family units located within 14 residential buildings, </w:t>
          </w:r>
          <w:r w:rsidR="00EA63FD">
            <w:rPr>
              <w:rFonts w:ascii="Century Gothic" w:hAnsi="Century Gothic"/>
            </w:rPr>
            <w:t>many of which have</w:t>
          </w:r>
          <w:r w:rsidR="0091628B">
            <w:rPr>
              <w:rFonts w:ascii="Century Gothic" w:hAnsi="Century Gothic"/>
            </w:rPr>
            <w:t xml:space="preserve"> attached garages, and there will be an additional 20 detached 4-bay garages</w:t>
          </w:r>
          <w:r w:rsidR="00EA63FD">
            <w:rPr>
              <w:rFonts w:ascii="Century Gothic" w:hAnsi="Century Gothic"/>
            </w:rPr>
            <w:t xml:space="preserve"> scatter throughout the site for resident use.</w:t>
          </w:r>
          <w:r w:rsidR="0091628B">
            <w:rPr>
              <w:rFonts w:ascii="Century Gothic" w:hAnsi="Century Gothic"/>
            </w:rPr>
            <w:t xml:space="preserve">  </w:t>
          </w:r>
          <w:r w:rsidR="00EA63FD">
            <w:rPr>
              <w:rFonts w:ascii="Century Gothic" w:hAnsi="Century Gothic"/>
            </w:rPr>
            <w:t xml:space="preserve">There will be a total of 524 bedrooms within </w:t>
          </w:r>
          <w:r w:rsidR="00300EB5">
            <w:rPr>
              <w:rFonts w:ascii="Century Gothic" w:hAnsi="Century Gothic"/>
            </w:rPr>
            <w:t xml:space="preserve">the </w:t>
          </w:r>
          <w:r w:rsidR="0091628B">
            <w:rPr>
              <w:rFonts w:ascii="Century Gothic" w:hAnsi="Century Gothic"/>
            </w:rPr>
            <w:t>384 units</w:t>
          </w:r>
          <w:r w:rsidR="00EA63FD">
            <w:rPr>
              <w:rFonts w:ascii="Century Gothic" w:hAnsi="Century Gothic"/>
            </w:rPr>
            <w:t xml:space="preserve"> (</w:t>
          </w:r>
          <w:r w:rsidR="0091628B">
            <w:rPr>
              <w:rFonts w:ascii="Century Gothic" w:hAnsi="Century Gothic"/>
            </w:rPr>
            <w:t>244</w:t>
          </w:r>
          <w:r w:rsidR="00EA63FD">
            <w:rPr>
              <w:rFonts w:ascii="Century Gothic" w:hAnsi="Century Gothic"/>
            </w:rPr>
            <w:t xml:space="preserve"> - 1</w:t>
          </w:r>
          <w:r w:rsidR="0091628B">
            <w:rPr>
              <w:rFonts w:ascii="Century Gothic" w:hAnsi="Century Gothic"/>
            </w:rPr>
            <w:t xml:space="preserve"> bedroom and </w:t>
          </w:r>
          <w:r w:rsidR="00EA63FD">
            <w:rPr>
              <w:rFonts w:ascii="Century Gothic" w:hAnsi="Century Gothic"/>
            </w:rPr>
            <w:t>140</w:t>
          </w:r>
          <w:r w:rsidR="0091628B">
            <w:rPr>
              <w:rFonts w:ascii="Century Gothic" w:hAnsi="Century Gothic"/>
            </w:rPr>
            <w:t xml:space="preserve"> </w:t>
          </w:r>
          <w:r w:rsidR="00EA63FD">
            <w:rPr>
              <w:rFonts w:ascii="Century Gothic" w:hAnsi="Century Gothic"/>
            </w:rPr>
            <w:t>-</w:t>
          </w:r>
          <w:r w:rsidR="0091628B">
            <w:rPr>
              <w:rFonts w:ascii="Century Gothic" w:hAnsi="Century Gothic"/>
            </w:rPr>
            <w:t xml:space="preserve"> </w:t>
          </w:r>
          <w:r w:rsidR="00EA63FD">
            <w:rPr>
              <w:rFonts w:ascii="Century Gothic" w:hAnsi="Century Gothic"/>
            </w:rPr>
            <w:t>2</w:t>
          </w:r>
          <w:r w:rsidR="0091628B">
            <w:rPr>
              <w:rFonts w:ascii="Century Gothic" w:hAnsi="Century Gothic"/>
            </w:rPr>
            <w:t xml:space="preserve"> bedroom</w:t>
          </w:r>
          <w:r w:rsidR="00EA63FD">
            <w:rPr>
              <w:rFonts w:ascii="Century Gothic" w:hAnsi="Century Gothic"/>
            </w:rPr>
            <w:t>)</w:t>
          </w:r>
          <w:r w:rsidR="0091628B">
            <w:rPr>
              <w:rFonts w:ascii="Century Gothic" w:hAnsi="Century Gothic"/>
            </w:rPr>
            <w:t>.</w:t>
          </w:r>
          <w:r>
            <w:rPr>
              <w:rFonts w:ascii="Century Gothic" w:hAnsi="Century Gothic"/>
            </w:rPr>
            <w:t xml:space="preserve"> </w:t>
          </w:r>
          <w:r w:rsidR="00EA63FD">
            <w:rPr>
              <w:rFonts w:ascii="Century Gothic" w:hAnsi="Century Gothic"/>
            </w:rPr>
            <w:t xml:space="preserve"> </w:t>
          </w:r>
          <w:r>
            <w:rPr>
              <w:rFonts w:ascii="Century Gothic" w:hAnsi="Century Gothic"/>
            </w:rPr>
            <w:t xml:space="preserve">Lots 2-11 are proposed to be developed with single-family </w:t>
          </w:r>
          <w:r w:rsidR="00ED0053">
            <w:rPr>
              <w:rFonts w:ascii="Century Gothic" w:hAnsi="Century Gothic"/>
            </w:rPr>
            <w:t>homes</w:t>
          </w:r>
          <w:r w:rsidR="00F31ED6">
            <w:rPr>
              <w:rFonts w:ascii="Century Gothic" w:hAnsi="Century Gothic"/>
            </w:rPr>
            <w:t>.</w:t>
          </w:r>
          <w:r>
            <w:rPr>
              <w:rFonts w:ascii="Century Gothic" w:hAnsi="Century Gothic"/>
            </w:rPr>
            <w:t xml:space="preserve"> </w:t>
          </w:r>
          <w:r w:rsidR="00F31ED6">
            <w:rPr>
              <w:rFonts w:ascii="Century Gothic" w:hAnsi="Century Gothic"/>
            </w:rPr>
            <w:t xml:space="preserve"> </w:t>
          </w:r>
          <w:r>
            <w:rPr>
              <w:rFonts w:ascii="Century Gothic" w:hAnsi="Century Gothic"/>
            </w:rPr>
            <w:t xml:space="preserve">Lots 2-9 </w:t>
          </w:r>
          <w:r w:rsidR="00F31ED6">
            <w:rPr>
              <w:rFonts w:ascii="Century Gothic" w:hAnsi="Century Gothic"/>
            </w:rPr>
            <w:t xml:space="preserve">will generally be consistent with the requirements of the R-1 zoning district whereas Lots 10 and 11 will generally comply with the requirements of the A-1 zoning district.  The residential lots are intended to provide a buffer from the existing residential neighborhood </w:t>
          </w:r>
          <w:r w:rsidR="00EA63FD">
            <w:rPr>
              <w:rFonts w:ascii="Century Gothic" w:hAnsi="Century Gothic"/>
            </w:rPr>
            <w:t>to the north</w:t>
          </w:r>
          <w:r w:rsidR="00300EB5">
            <w:rPr>
              <w:rFonts w:ascii="Century Gothic" w:hAnsi="Century Gothic"/>
            </w:rPr>
            <w:t xml:space="preserve"> (</w:t>
          </w:r>
          <w:proofErr w:type="spellStart"/>
          <w:r w:rsidR="00300EB5">
            <w:rPr>
              <w:rFonts w:ascii="Century Gothic" w:hAnsi="Century Gothic"/>
            </w:rPr>
            <w:t>Timberhill</w:t>
          </w:r>
          <w:proofErr w:type="spellEnd"/>
          <w:r w:rsidR="00300EB5">
            <w:rPr>
              <w:rFonts w:ascii="Century Gothic" w:hAnsi="Century Gothic"/>
            </w:rPr>
            <w:t>)</w:t>
          </w:r>
          <w:r w:rsidR="00F31ED6">
            <w:rPr>
              <w:rFonts w:ascii="Century Gothic" w:hAnsi="Century Gothic"/>
            </w:rPr>
            <w:t xml:space="preserve"> and act as a transition </w:t>
          </w:r>
          <w:r w:rsidR="00EA63FD">
            <w:rPr>
              <w:rFonts w:ascii="Century Gothic" w:hAnsi="Century Gothic"/>
            </w:rPr>
            <w:t xml:space="preserve">between </w:t>
          </w:r>
          <w:r w:rsidR="00F31ED6">
            <w:rPr>
              <w:rFonts w:ascii="Century Gothic" w:hAnsi="Century Gothic"/>
            </w:rPr>
            <w:t xml:space="preserve">the more intense </w:t>
          </w:r>
          <w:r w:rsidR="00300EB5">
            <w:rPr>
              <w:rFonts w:ascii="Century Gothic" w:hAnsi="Century Gothic"/>
            </w:rPr>
            <w:t xml:space="preserve">commercial uses </w:t>
          </w:r>
          <w:r w:rsidR="00EA63FD">
            <w:rPr>
              <w:rFonts w:ascii="Century Gothic" w:hAnsi="Century Gothic"/>
            </w:rPr>
            <w:t>to the south</w:t>
          </w:r>
          <w:r w:rsidR="00300EB5">
            <w:rPr>
              <w:rFonts w:ascii="Century Gothic" w:hAnsi="Century Gothic"/>
            </w:rPr>
            <w:t xml:space="preserve"> found within the Cross Creek development</w:t>
          </w:r>
          <w:r w:rsidR="00EA63FD">
            <w:rPr>
              <w:rFonts w:ascii="Century Gothic" w:hAnsi="Century Gothic"/>
            </w:rPr>
            <w:t>.</w:t>
          </w:r>
        </w:p>
        <w:p w:rsidR="00F31ED6" w:rsidRDefault="00F31ED6" w:rsidP="00CE4274">
          <w:pPr>
            <w:rPr>
              <w:rFonts w:ascii="Century Gothic" w:hAnsi="Century Gothic"/>
            </w:rPr>
          </w:pPr>
        </w:p>
        <w:p w:rsidR="009A6D2D" w:rsidRDefault="00626286" w:rsidP="00CE4274">
          <w:pPr>
            <w:rPr>
              <w:rFonts w:ascii="Century Gothic" w:hAnsi="Century Gothic"/>
            </w:rPr>
          </w:pPr>
          <w:r>
            <w:rPr>
              <w:rFonts w:ascii="Century Gothic" w:hAnsi="Century Gothic"/>
            </w:rPr>
            <w:t xml:space="preserve">The PUD development plan shows the extension of Cinnamon Hill Lane eastward through the tract and the extension of </w:t>
          </w:r>
          <w:proofErr w:type="spellStart"/>
          <w:r>
            <w:rPr>
              <w:rFonts w:ascii="Century Gothic" w:hAnsi="Century Gothic"/>
            </w:rPr>
            <w:t>Timberhill</w:t>
          </w:r>
          <w:proofErr w:type="spellEnd"/>
          <w:r>
            <w:rPr>
              <w:rFonts w:ascii="Century Gothic" w:hAnsi="Century Gothic"/>
            </w:rPr>
            <w:t xml:space="preserve"> </w:t>
          </w:r>
          <w:r w:rsidR="00851E74">
            <w:rPr>
              <w:rFonts w:ascii="Century Gothic" w:hAnsi="Century Gothic"/>
            </w:rPr>
            <w:t>Road</w:t>
          </w:r>
          <w:r>
            <w:rPr>
              <w:rFonts w:ascii="Century Gothic" w:hAnsi="Century Gothic"/>
            </w:rPr>
            <w:t xml:space="preserve"> to the south through the proposed residential lots.  These extensions are consistent with the CATSO Major Roadway Plan and provide the </w:t>
          </w:r>
          <w:r w:rsidR="00EA63FD">
            <w:rPr>
              <w:rFonts w:ascii="Century Gothic" w:hAnsi="Century Gothic"/>
            </w:rPr>
            <w:t xml:space="preserve">required </w:t>
          </w:r>
          <w:r>
            <w:rPr>
              <w:rFonts w:ascii="Century Gothic" w:hAnsi="Century Gothic"/>
            </w:rPr>
            <w:t xml:space="preserve">secondary access to the proposed multi-family development as required by the Subdivision Regulations.  </w:t>
          </w:r>
        </w:p>
        <w:p w:rsidR="009A6D2D" w:rsidRDefault="009A6D2D" w:rsidP="00CE4274">
          <w:pPr>
            <w:rPr>
              <w:rFonts w:ascii="Century Gothic" w:hAnsi="Century Gothic"/>
            </w:rPr>
          </w:pPr>
        </w:p>
        <w:p w:rsidR="009A6D2D" w:rsidRDefault="009A6D2D" w:rsidP="00CE4274">
          <w:pPr>
            <w:rPr>
              <w:rFonts w:ascii="Century Gothic" w:hAnsi="Century Gothic"/>
            </w:rPr>
          </w:pPr>
          <w:r>
            <w:rPr>
              <w:rFonts w:ascii="Century Gothic" w:hAnsi="Century Gothic"/>
            </w:rPr>
            <w:t xml:space="preserve">Due to </w:t>
          </w:r>
          <w:r w:rsidR="00626286">
            <w:rPr>
              <w:rFonts w:ascii="Century Gothic" w:hAnsi="Century Gothic"/>
            </w:rPr>
            <w:t xml:space="preserve">the relocation of Cinnamon Hill Lane </w:t>
          </w:r>
          <w:r w:rsidR="00300EB5">
            <w:rPr>
              <w:rFonts w:ascii="Century Gothic" w:hAnsi="Century Gothic"/>
            </w:rPr>
            <w:t xml:space="preserve">the </w:t>
          </w:r>
          <w:r w:rsidR="00626286">
            <w:rPr>
              <w:rFonts w:ascii="Century Gothic" w:hAnsi="Century Gothic"/>
            </w:rPr>
            <w:t>access to Lot 1 of Water Tower Place, Plat 1</w:t>
          </w:r>
          <w:r>
            <w:rPr>
              <w:rFonts w:ascii="Century Gothic" w:hAnsi="Century Gothic"/>
            </w:rPr>
            <w:t xml:space="preserve"> </w:t>
          </w:r>
          <w:r w:rsidR="00626286">
            <w:rPr>
              <w:rFonts w:ascii="Century Gothic" w:hAnsi="Century Gothic"/>
            </w:rPr>
            <w:t>and the City’s water tower</w:t>
          </w:r>
          <w:r w:rsidR="00EA63FD">
            <w:rPr>
              <w:rFonts w:ascii="Century Gothic" w:hAnsi="Century Gothic"/>
            </w:rPr>
            <w:t>, north of Lots 12 &amp; 13,</w:t>
          </w:r>
          <w:r w:rsidR="00626286">
            <w:rPr>
              <w:rFonts w:ascii="Century Gothic" w:hAnsi="Century Gothic"/>
            </w:rPr>
            <w:t xml:space="preserve"> will be required to be </w:t>
          </w:r>
          <w:r w:rsidR="00300EB5">
            <w:rPr>
              <w:rFonts w:ascii="Century Gothic" w:hAnsi="Century Gothic"/>
            </w:rPr>
            <w:t>relocated.</w:t>
          </w:r>
          <w:r w:rsidR="00626286">
            <w:rPr>
              <w:rFonts w:ascii="Century Gothic" w:hAnsi="Century Gothic"/>
            </w:rPr>
            <w:t xml:space="preserve">  </w:t>
          </w:r>
          <w:r>
            <w:rPr>
              <w:rFonts w:ascii="Century Gothic" w:hAnsi="Century Gothic"/>
            </w:rPr>
            <w:t xml:space="preserve">Lot 12, shown on the PUD plan, is designated to accommodate the relocated access (per Plan Note #28).  If such relocation exceeds $25,000 the proposed tie-in location of “old” Cinnamon Hill Lane (south of Lot 12) to </w:t>
          </w:r>
          <w:r w:rsidR="00300EB5">
            <w:rPr>
              <w:rFonts w:ascii="Century Gothic" w:hAnsi="Century Gothic"/>
            </w:rPr>
            <w:t xml:space="preserve">its new </w:t>
          </w:r>
          <w:r>
            <w:rPr>
              <w:rFonts w:ascii="Century Gothic" w:hAnsi="Century Gothic"/>
            </w:rPr>
            <w:t>loca</w:t>
          </w:r>
          <w:r w:rsidR="00300EB5">
            <w:rPr>
              <w:rFonts w:ascii="Century Gothic" w:hAnsi="Century Gothic"/>
            </w:rPr>
            <w:t xml:space="preserve">tion </w:t>
          </w:r>
          <w:r>
            <w:rPr>
              <w:rFonts w:ascii="Century Gothic" w:hAnsi="Century Gothic"/>
            </w:rPr>
            <w:t xml:space="preserve">may be permitted subject </w:t>
          </w:r>
          <w:r w:rsidR="00A1272F">
            <w:rPr>
              <w:rFonts w:ascii="Century Gothic" w:hAnsi="Century Gothic"/>
            </w:rPr>
            <w:t xml:space="preserve">to </w:t>
          </w:r>
          <w:r>
            <w:rPr>
              <w:rFonts w:ascii="Century Gothic" w:hAnsi="Century Gothic"/>
            </w:rPr>
            <w:t>City approval.  In either instance</w:t>
          </w:r>
          <w:r w:rsidR="00300EB5">
            <w:rPr>
              <w:rFonts w:ascii="Century Gothic" w:hAnsi="Century Gothic"/>
            </w:rPr>
            <w:t>,</w:t>
          </w:r>
          <w:r>
            <w:rPr>
              <w:rFonts w:ascii="Century Gothic" w:hAnsi="Century Gothic"/>
            </w:rPr>
            <w:t xml:space="preserve"> the applicant will be required to install the necessary access to ensure both parcels </w:t>
          </w:r>
          <w:r w:rsidR="00300EB5">
            <w:rPr>
              <w:rFonts w:ascii="Century Gothic" w:hAnsi="Century Gothic"/>
            </w:rPr>
            <w:t xml:space="preserve">to the north </w:t>
          </w:r>
          <w:r>
            <w:rPr>
              <w:rFonts w:ascii="Century Gothic" w:hAnsi="Century Gothic"/>
            </w:rPr>
            <w:t xml:space="preserve">have a public roadway connection. </w:t>
          </w:r>
        </w:p>
        <w:p w:rsidR="009A6D2D" w:rsidRDefault="009A6D2D" w:rsidP="00CE4274">
          <w:pPr>
            <w:rPr>
              <w:rFonts w:ascii="Century Gothic" w:hAnsi="Century Gothic"/>
            </w:rPr>
          </w:pPr>
        </w:p>
        <w:p w:rsidR="00F31ED6" w:rsidRDefault="009A6D2D" w:rsidP="00CE4274">
          <w:pPr>
            <w:rPr>
              <w:rFonts w:ascii="Century Gothic" w:hAnsi="Century Gothic"/>
            </w:rPr>
          </w:pPr>
          <w:r>
            <w:rPr>
              <w:rFonts w:ascii="Century Gothic" w:hAnsi="Century Gothic"/>
            </w:rPr>
            <w:lastRenderedPageBreak/>
            <w:t xml:space="preserve">Lot 13 </w:t>
          </w:r>
          <w:r w:rsidR="00851E74">
            <w:rPr>
              <w:rFonts w:ascii="Century Gothic" w:hAnsi="Century Gothic"/>
            </w:rPr>
            <w:t>will be t</w:t>
          </w:r>
          <w:r>
            <w:rPr>
              <w:rFonts w:ascii="Century Gothic" w:hAnsi="Century Gothic"/>
            </w:rPr>
            <w:t xml:space="preserve">ransferred to Columbia Water and Light at the time of final platting.  This transfer would permit the water tower site to have direct roadway frontage onto extended Cinnamon Hill Lane.   </w:t>
          </w:r>
          <w:r w:rsidR="00851E74">
            <w:rPr>
              <w:rFonts w:ascii="Century Gothic" w:hAnsi="Century Gothic"/>
            </w:rPr>
            <w:t xml:space="preserve">The existing 50-foot </w:t>
          </w:r>
          <w:r w:rsidR="00300EB5">
            <w:rPr>
              <w:rFonts w:ascii="Century Gothic" w:hAnsi="Century Gothic"/>
            </w:rPr>
            <w:t xml:space="preserve">wide </w:t>
          </w:r>
          <w:r w:rsidR="00851E74">
            <w:rPr>
              <w:rFonts w:ascii="Century Gothic" w:hAnsi="Century Gothic"/>
            </w:rPr>
            <w:t xml:space="preserve">easement running east-west along the northern boundary of Lots 12 and 13 will be retained since active utilities are located within it.  </w:t>
          </w:r>
        </w:p>
        <w:p w:rsidR="00851E74" w:rsidRDefault="00851E74" w:rsidP="00CE4274">
          <w:pPr>
            <w:rPr>
              <w:rFonts w:ascii="Century Gothic" w:hAnsi="Century Gothic"/>
            </w:rPr>
          </w:pPr>
        </w:p>
        <w:p w:rsidR="00851E74" w:rsidRDefault="00851E74" w:rsidP="00CE4274">
          <w:pPr>
            <w:rPr>
              <w:rFonts w:ascii="Century Gothic" w:hAnsi="Century Gothic"/>
            </w:rPr>
          </w:pPr>
          <w:proofErr w:type="spellStart"/>
          <w:r>
            <w:rPr>
              <w:rFonts w:ascii="Century Gothic" w:hAnsi="Century Gothic"/>
            </w:rPr>
            <w:t>Timberhill</w:t>
          </w:r>
          <w:proofErr w:type="spellEnd"/>
          <w:r>
            <w:rPr>
              <w:rFonts w:ascii="Century Gothic" w:hAnsi="Century Gothic"/>
            </w:rPr>
            <w:t xml:space="preserve"> Road </w:t>
          </w:r>
          <w:r w:rsidR="00141952">
            <w:rPr>
              <w:rFonts w:ascii="Century Gothic" w:hAnsi="Century Gothic"/>
            </w:rPr>
            <w:t xml:space="preserve">will be extended south, </w:t>
          </w:r>
          <w:r>
            <w:rPr>
              <w:rFonts w:ascii="Century Gothic" w:hAnsi="Century Gothic"/>
            </w:rPr>
            <w:t>from its current terminus</w:t>
          </w:r>
          <w:r w:rsidR="00141952">
            <w:rPr>
              <w:rFonts w:ascii="Century Gothic" w:hAnsi="Century Gothic"/>
            </w:rPr>
            <w:t xml:space="preserve">, to Cassia Court which will connect to </w:t>
          </w:r>
          <w:proofErr w:type="gramStart"/>
          <w:r w:rsidR="00141952">
            <w:rPr>
              <w:rFonts w:ascii="Century Gothic" w:hAnsi="Century Gothic"/>
            </w:rPr>
            <w:t>extended</w:t>
          </w:r>
          <w:proofErr w:type="gramEnd"/>
          <w:r w:rsidR="00141952">
            <w:rPr>
              <w:rFonts w:ascii="Century Gothic" w:hAnsi="Century Gothic"/>
            </w:rPr>
            <w:t xml:space="preserve"> Cinnamon Hill Lane.  </w:t>
          </w:r>
          <w:r>
            <w:rPr>
              <w:rFonts w:ascii="Century Gothic" w:hAnsi="Century Gothic"/>
            </w:rPr>
            <w:t xml:space="preserve">In response </w:t>
          </w:r>
          <w:r w:rsidR="00141952">
            <w:rPr>
              <w:rFonts w:ascii="Century Gothic" w:hAnsi="Century Gothic"/>
            </w:rPr>
            <w:t xml:space="preserve">to </w:t>
          </w:r>
          <w:r w:rsidR="00B41CD0">
            <w:rPr>
              <w:rFonts w:ascii="Century Gothic" w:hAnsi="Century Gothic"/>
            </w:rPr>
            <w:t>s</w:t>
          </w:r>
          <w:r>
            <w:rPr>
              <w:rFonts w:ascii="Century Gothic" w:hAnsi="Century Gothic"/>
            </w:rPr>
            <w:t xml:space="preserve">ignificant public comment </w:t>
          </w:r>
          <w:r w:rsidR="00B41CD0">
            <w:rPr>
              <w:rFonts w:ascii="Century Gothic" w:hAnsi="Century Gothic"/>
            </w:rPr>
            <w:t>the roadway</w:t>
          </w:r>
          <w:r w:rsidR="00A1272F">
            <w:rPr>
              <w:rFonts w:ascii="Century Gothic" w:hAnsi="Century Gothic"/>
            </w:rPr>
            <w:t xml:space="preserve">’s design has </w:t>
          </w:r>
          <w:r w:rsidR="00B41CD0">
            <w:rPr>
              <w:rFonts w:ascii="Century Gothic" w:hAnsi="Century Gothic"/>
            </w:rPr>
            <w:t xml:space="preserve">incorporated </w:t>
          </w:r>
          <w:r w:rsidR="00A1272F">
            <w:rPr>
              <w:rFonts w:ascii="Century Gothic" w:hAnsi="Century Gothic"/>
            </w:rPr>
            <w:t xml:space="preserve">features intended </w:t>
          </w:r>
          <w:r w:rsidR="00141952">
            <w:rPr>
              <w:rFonts w:ascii="Century Gothic" w:hAnsi="Century Gothic"/>
            </w:rPr>
            <w:t xml:space="preserve">to disguises its connection to an existing public street </w:t>
          </w:r>
          <w:r w:rsidR="00A1272F">
            <w:rPr>
              <w:rFonts w:ascii="Century Gothic" w:hAnsi="Century Gothic"/>
            </w:rPr>
            <w:t xml:space="preserve">in efforts to reduce its likelihood of being used as a through street to Highway WW.  </w:t>
          </w:r>
          <w:r w:rsidR="00B41CD0">
            <w:rPr>
              <w:rFonts w:ascii="Century Gothic" w:hAnsi="Century Gothic"/>
            </w:rPr>
            <w:t xml:space="preserve">The </w:t>
          </w:r>
          <w:r w:rsidR="00A1272F">
            <w:rPr>
              <w:rFonts w:ascii="Century Gothic" w:hAnsi="Century Gothic"/>
            </w:rPr>
            <w:t xml:space="preserve">December 6, 2016 amended </w:t>
          </w:r>
          <w:r w:rsidR="00B41CD0">
            <w:rPr>
              <w:rFonts w:ascii="Century Gothic" w:hAnsi="Century Gothic"/>
            </w:rPr>
            <w:t xml:space="preserve">PUD plan showed this connection as a “full” open connection.  The connection is necessary to </w:t>
          </w:r>
          <w:r>
            <w:rPr>
              <w:rFonts w:ascii="Century Gothic" w:hAnsi="Century Gothic"/>
            </w:rPr>
            <w:t>ensure compliance with the secondary access requirements of the Subdivision Regulation</w:t>
          </w:r>
          <w:r w:rsidR="00141952">
            <w:rPr>
              <w:rFonts w:ascii="Century Gothic" w:hAnsi="Century Gothic"/>
            </w:rPr>
            <w:t>s</w:t>
          </w:r>
          <w:r>
            <w:rPr>
              <w:rFonts w:ascii="Century Gothic" w:hAnsi="Century Gothic"/>
            </w:rPr>
            <w:t xml:space="preserve">. </w:t>
          </w:r>
          <w:r w:rsidR="00A1272F">
            <w:rPr>
              <w:rFonts w:ascii="Century Gothic" w:hAnsi="Century Gothic"/>
            </w:rPr>
            <w:t xml:space="preserve"> </w:t>
          </w:r>
          <w:r>
            <w:rPr>
              <w:rFonts w:ascii="Century Gothic" w:hAnsi="Century Gothic"/>
            </w:rPr>
            <w:t xml:space="preserve">Associated with this proposed roadway </w:t>
          </w:r>
          <w:r w:rsidR="00B41CD0">
            <w:rPr>
              <w:rFonts w:ascii="Century Gothic" w:hAnsi="Century Gothic"/>
            </w:rPr>
            <w:t xml:space="preserve">extension </w:t>
          </w:r>
          <w:r>
            <w:rPr>
              <w:rFonts w:ascii="Century Gothic" w:hAnsi="Century Gothic"/>
            </w:rPr>
            <w:t xml:space="preserve">was a request to waive sidewalk construction on the north side of the </w:t>
          </w:r>
          <w:r w:rsidR="00141952">
            <w:rPr>
              <w:rFonts w:ascii="Century Gothic" w:hAnsi="Century Gothic"/>
            </w:rPr>
            <w:t xml:space="preserve">roadway </w:t>
          </w:r>
          <w:r>
            <w:rPr>
              <w:rFonts w:ascii="Century Gothic" w:hAnsi="Century Gothic"/>
            </w:rPr>
            <w:t xml:space="preserve">to its intersection with Cassia Court.  </w:t>
          </w:r>
        </w:p>
        <w:p w:rsidR="00B41CD0" w:rsidRDefault="00B41CD0" w:rsidP="00CE4274">
          <w:pPr>
            <w:rPr>
              <w:rFonts w:ascii="Century Gothic" w:hAnsi="Century Gothic"/>
            </w:rPr>
          </w:pPr>
        </w:p>
        <w:p w:rsidR="00B41CD0" w:rsidRDefault="00B41CD0" w:rsidP="00CE4274">
          <w:pPr>
            <w:rPr>
              <w:rFonts w:ascii="Century Gothic" w:hAnsi="Century Gothic"/>
            </w:rPr>
          </w:pPr>
          <w:r>
            <w:rPr>
              <w:rFonts w:ascii="Century Gothic" w:hAnsi="Century Gothic"/>
            </w:rPr>
            <w:t>The PUD plan shows multiple common areas that include tree preservation area</w:t>
          </w:r>
          <w:r w:rsidR="00A1272F">
            <w:rPr>
              <w:rFonts w:ascii="Century Gothic" w:hAnsi="Century Gothic"/>
            </w:rPr>
            <w:t>s</w:t>
          </w:r>
          <w:r>
            <w:rPr>
              <w:rFonts w:ascii="Century Gothic" w:hAnsi="Century Gothic"/>
            </w:rPr>
            <w:t xml:space="preserve">, </w:t>
          </w:r>
          <w:proofErr w:type="spellStart"/>
          <w:r>
            <w:rPr>
              <w:rFonts w:ascii="Century Gothic" w:hAnsi="Century Gothic"/>
            </w:rPr>
            <w:t>stormwater</w:t>
          </w:r>
          <w:proofErr w:type="spellEnd"/>
          <w:r>
            <w:rPr>
              <w:rFonts w:ascii="Century Gothic" w:hAnsi="Century Gothic"/>
            </w:rPr>
            <w:t xml:space="preserve"> management features, and “greenspace conservation” lands.  These common areas and their locations are generally consistent with prior development proposals.  The greenspace conservation easement will provide a 100-foot “no-build” buffer between the single-family lots of the developme</w:t>
          </w:r>
          <w:r w:rsidR="00A1272F">
            <w:rPr>
              <w:rFonts w:ascii="Century Gothic" w:hAnsi="Century Gothic"/>
            </w:rPr>
            <w:t xml:space="preserve">nt and the existing </w:t>
          </w:r>
          <w:proofErr w:type="spellStart"/>
          <w:r w:rsidR="00A1272F">
            <w:rPr>
              <w:rFonts w:ascii="Century Gothic" w:hAnsi="Century Gothic"/>
            </w:rPr>
            <w:t>Timberhill</w:t>
          </w:r>
          <w:proofErr w:type="spellEnd"/>
          <w:r w:rsidR="00A1272F">
            <w:rPr>
              <w:rFonts w:ascii="Century Gothic" w:hAnsi="Century Gothic"/>
            </w:rPr>
            <w:t xml:space="preserve"> n</w:t>
          </w:r>
          <w:r>
            <w:rPr>
              <w:rFonts w:ascii="Century Gothic" w:hAnsi="Century Gothic"/>
            </w:rPr>
            <w:t>eighborhood.  The overall greenspace/ open space for the development is approximately 55%</w:t>
          </w:r>
          <w:r w:rsidR="00141952">
            <w:rPr>
              <w:rFonts w:ascii="Century Gothic" w:hAnsi="Century Gothic"/>
            </w:rPr>
            <w:t xml:space="preserve"> of the total site acreage</w:t>
          </w:r>
          <w:r>
            <w:rPr>
              <w:rFonts w:ascii="Century Gothic" w:hAnsi="Century Gothic"/>
            </w:rPr>
            <w:t>.</w:t>
          </w:r>
        </w:p>
        <w:p w:rsidR="00B41CD0" w:rsidRDefault="00B41CD0" w:rsidP="00CE4274">
          <w:pPr>
            <w:rPr>
              <w:rFonts w:ascii="Century Gothic" w:hAnsi="Century Gothic"/>
            </w:rPr>
          </w:pPr>
        </w:p>
        <w:p w:rsidR="00B41CD0" w:rsidRDefault="00B41CD0" w:rsidP="00CE4274">
          <w:pPr>
            <w:rPr>
              <w:rFonts w:ascii="Century Gothic" w:hAnsi="Century Gothic"/>
            </w:rPr>
          </w:pPr>
          <w:r>
            <w:rPr>
              <w:rFonts w:ascii="Century Gothic" w:hAnsi="Century Gothic"/>
            </w:rPr>
            <w:t>As permitted by Section 29-10(d</w:t>
          </w:r>
          <w:proofErr w:type="gramStart"/>
          <w:r>
            <w:rPr>
              <w:rFonts w:ascii="Century Gothic" w:hAnsi="Century Gothic"/>
            </w:rPr>
            <w:t>)</w:t>
          </w:r>
          <w:r w:rsidR="00141952">
            <w:rPr>
              <w:rFonts w:ascii="Century Gothic" w:hAnsi="Century Gothic"/>
            </w:rPr>
            <w:t>(</w:t>
          </w:r>
          <w:proofErr w:type="gramEnd"/>
          <w:r>
            <w:rPr>
              <w:rFonts w:ascii="Century Gothic" w:hAnsi="Century Gothic"/>
            </w:rPr>
            <w:t>10)</w:t>
          </w:r>
          <w:r w:rsidR="000D1D42">
            <w:rPr>
              <w:rFonts w:ascii="Century Gothic" w:hAnsi="Century Gothic"/>
            </w:rPr>
            <w:t xml:space="preserve"> of the Code,</w:t>
          </w:r>
          <w:r>
            <w:rPr>
              <w:rFonts w:ascii="Century Gothic" w:hAnsi="Century Gothic"/>
            </w:rPr>
            <w:t xml:space="preserve"> the applicant is seeking a modification in the amount of required </w:t>
          </w:r>
          <w:r w:rsidR="000D1D42">
            <w:rPr>
              <w:rFonts w:ascii="Century Gothic" w:hAnsi="Century Gothic"/>
            </w:rPr>
            <w:t xml:space="preserve">off-street </w:t>
          </w:r>
          <w:r>
            <w:rPr>
              <w:rFonts w:ascii="Century Gothic" w:hAnsi="Century Gothic"/>
            </w:rPr>
            <w:t xml:space="preserve">parking </w:t>
          </w:r>
          <w:r w:rsidR="000D1D42">
            <w:rPr>
              <w:rFonts w:ascii="Century Gothic" w:hAnsi="Century Gothic"/>
            </w:rPr>
            <w:t>that must be provided to support the mul</w:t>
          </w:r>
          <w:r>
            <w:rPr>
              <w:rFonts w:ascii="Century Gothic" w:hAnsi="Century Gothic"/>
            </w:rPr>
            <w:t>ti-family portion of t</w:t>
          </w:r>
          <w:r w:rsidR="000D1D42">
            <w:rPr>
              <w:rFonts w:ascii="Century Gothic" w:hAnsi="Century Gothic"/>
            </w:rPr>
            <w:t xml:space="preserve">he site. The applicant originally requested a waiver of 154 spaces be granted; however, prior to the Commission hearing </w:t>
          </w:r>
          <w:r w:rsidR="00A1272F">
            <w:rPr>
              <w:rFonts w:ascii="Century Gothic" w:hAnsi="Century Gothic"/>
            </w:rPr>
            <w:t xml:space="preserve">the </w:t>
          </w:r>
          <w:r w:rsidR="000D1D42">
            <w:rPr>
              <w:rFonts w:ascii="Century Gothic" w:hAnsi="Century Gothic"/>
            </w:rPr>
            <w:t xml:space="preserve">PUD plan </w:t>
          </w:r>
          <w:r w:rsidR="00A1272F">
            <w:rPr>
              <w:rFonts w:ascii="Century Gothic" w:hAnsi="Century Gothic"/>
            </w:rPr>
            <w:t xml:space="preserve">was revised </w:t>
          </w:r>
          <w:r w:rsidR="000D1D42">
            <w:rPr>
              <w:rFonts w:ascii="Century Gothic" w:hAnsi="Century Gothic"/>
            </w:rPr>
            <w:t xml:space="preserve">to provide additional parking spaces.  The revision resulted in the requested waiver being reduced to 38 spaces.  </w:t>
          </w:r>
        </w:p>
        <w:p w:rsidR="00F91525" w:rsidRDefault="00F91525" w:rsidP="00CE4274">
          <w:pPr>
            <w:rPr>
              <w:rFonts w:ascii="Century Gothic" w:hAnsi="Century Gothic"/>
            </w:rPr>
          </w:pPr>
        </w:p>
        <w:p w:rsidR="00826B1E" w:rsidRDefault="00826B1E" w:rsidP="00826B1E">
          <w:pPr>
            <w:rPr>
              <w:rFonts w:ascii="Century Gothic" w:hAnsi="Century Gothic"/>
            </w:rPr>
          </w:pPr>
          <w:r>
            <w:rPr>
              <w:rFonts w:ascii="Century Gothic" w:hAnsi="Century Gothic"/>
            </w:rPr>
            <w:t xml:space="preserve">Following </w:t>
          </w:r>
          <w:r w:rsidR="00A1272F">
            <w:rPr>
              <w:rFonts w:ascii="Century Gothic" w:hAnsi="Century Gothic"/>
            </w:rPr>
            <w:t xml:space="preserve">staff’s presentation to the Commission </w:t>
          </w:r>
          <w:r>
            <w:rPr>
              <w:rFonts w:ascii="Century Gothic" w:hAnsi="Century Gothic"/>
            </w:rPr>
            <w:t>t</w:t>
          </w:r>
          <w:r w:rsidR="00F91525">
            <w:rPr>
              <w:rFonts w:ascii="Century Gothic" w:hAnsi="Century Gothic"/>
            </w:rPr>
            <w:t xml:space="preserve">he applicant’s representatives (legal counsel, engineer, and traffic engineer) provided an overview of the proposed development and its impacts.  Several residents from the </w:t>
          </w:r>
          <w:proofErr w:type="spellStart"/>
          <w:r w:rsidR="00F91525">
            <w:rPr>
              <w:rFonts w:ascii="Century Gothic" w:hAnsi="Century Gothic"/>
            </w:rPr>
            <w:t>Timberhill</w:t>
          </w:r>
          <w:proofErr w:type="spellEnd"/>
          <w:r w:rsidR="00F91525">
            <w:rPr>
              <w:rFonts w:ascii="Century Gothic" w:hAnsi="Century Gothic"/>
            </w:rPr>
            <w:t xml:space="preserve"> neighborhood provided comments regarding concerns related to </w:t>
          </w:r>
          <w:r>
            <w:rPr>
              <w:rFonts w:ascii="Century Gothic" w:hAnsi="Century Gothic"/>
            </w:rPr>
            <w:t xml:space="preserve">the </w:t>
          </w:r>
          <w:r w:rsidR="00F91525">
            <w:rPr>
              <w:rFonts w:ascii="Century Gothic" w:hAnsi="Century Gothic"/>
            </w:rPr>
            <w:t xml:space="preserve">extension of </w:t>
          </w:r>
          <w:proofErr w:type="spellStart"/>
          <w:r w:rsidR="00F91525">
            <w:rPr>
              <w:rFonts w:ascii="Century Gothic" w:hAnsi="Century Gothic"/>
            </w:rPr>
            <w:t>Timberhill</w:t>
          </w:r>
          <w:proofErr w:type="spellEnd"/>
          <w:r w:rsidR="00F91525">
            <w:rPr>
              <w:rFonts w:ascii="Century Gothic" w:hAnsi="Century Gothic"/>
            </w:rPr>
            <w:t xml:space="preserve"> Road.  Additional public comment was provided by the owner of Lot 1 of Water Tower Place, Plat 1 relating to</w:t>
          </w:r>
          <w:r>
            <w:rPr>
              <w:rFonts w:ascii="Century Gothic" w:hAnsi="Century Gothic"/>
            </w:rPr>
            <w:t xml:space="preserve"> the relocation of their access as well as </w:t>
          </w:r>
          <w:r w:rsidR="00A1272F">
            <w:rPr>
              <w:rFonts w:ascii="Century Gothic" w:hAnsi="Century Gothic"/>
            </w:rPr>
            <w:t xml:space="preserve">an </w:t>
          </w:r>
          <w:r>
            <w:rPr>
              <w:rFonts w:ascii="Century Gothic" w:hAnsi="Century Gothic"/>
            </w:rPr>
            <w:t xml:space="preserve">adjacent </w:t>
          </w:r>
          <w:r w:rsidR="0089695E">
            <w:rPr>
              <w:rFonts w:ascii="Century Gothic" w:hAnsi="Century Gothic"/>
            </w:rPr>
            <w:t xml:space="preserve">property owner expressing concerns </w:t>
          </w:r>
          <w:r>
            <w:rPr>
              <w:rFonts w:ascii="Century Gothic" w:hAnsi="Century Gothic"/>
            </w:rPr>
            <w:t>relating to the proposed development’s lack of compliance with the goals and objectives of the East Area Plan and Columbia Imagined</w:t>
          </w:r>
          <w:r w:rsidR="00F91525">
            <w:rPr>
              <w:rFonts w:ascii="Century Gothic" w:hAnsi="Century Gothic"/>
            </w:rPr>
            <w:t xml:space="preserve"> </w:t>
          </w:r>
          <w:r w:rsidR="0089695E">
            <w:rPr>
              <w:rFonts w:ascii="Century Gothic" w:hAnsi="Century Gothic"/>
            </w:rPr>
            <w:t xml:space="preserve">as it pertained to </w:t>
          </w:r>
          <w:r>
            <w:rPr>
              <w:rFonts w:ascii="Century Gothic" w:hAnsi="Century Gothic"/>
            </w:rPr>
            <w:t xml:space="preserve">density and environmental protection. </w:t>
          </w:r>
        </w:p>
        <w:p w:rsidR="00826B1E" w:rsidRDefault="00826B1E" w:rsidP="00826B1E">
          <w:pPr>
            <w:rPr>
              <w:rFonts w:ascii="Century Gothic" w:hAnsi="Century Gothic"/>
            </w:rPr>
          </w:pPr>
        </w:p>
        <w:p w:rsidR="00826B1E" w:rsidRDefault="00826B1E" w:rsidP="00826B1E">
          <w:pPr>
            <w:rPr>
              <w:rFonts w:ascii="Century Gothic" w:hAnsi="Century Gothic"/>
            </w:rPr>
          </w:pPr>
          <w:r>
            <w:rPr>
              <w:rFonts w:ascii="Century Gothic" w:hAnsi="Century Gothic"/>
            </w:rPr>
            <w:t xml:space="preserve">Following closure of the public hearing, the Planning and Zoning Commission voted (7-2) to approve the </w:t>
          </w:r>
          <w:r w:rsidR="0089695E">
            <w:rPr>
              <w:rFonts w:ascii="Century Gothic" w:hAnsi="Century Gothic"/>
            </w:rPr>
            <w:t xml:space="preserve">12/6/16 amended rezoning request, Statement of Intent, </w:t>
          </w:r>
          <w:r w:rsidR="00141952">
            <w:rPr>
              <w:rFonts w:ascii="Century Gothic" w:hAnsi="Century Gothic"/>
            </w:rPr>
            <w:t xml:space="preserve">and </w:t>
          </w:r>
          <w:r w:rsidR="0089695E">
            <w:rPr>
              <w:rFonts w:ascii="Century Gothic" w:hAnsi="Century Gothic"/>
            </w:rPr>
            <w:t>PUD Development Plan (including the sidewalk and parking modifications)</w:t>
          </w:r>
          <w:r w:rsidR="00196E78">
            <w:rPr>
              <w:rFonts w:ascii="Century Gothic" w:hAnsi="Century Gothic"/>
            </w:rPr>
            <w:t xml:space="preserve"> </w:t>
          </w:r>
          <w:r w:rsidR="0089695E">
            <w:rPr>
              <w:rFonts w:ascii="Century Gothic" w:hAnsi="Century Gothic"/>
            </w:rPr>
            <w:t xml:space="preserve">subject to the following conditions: 1) </w:t>
          </w:r>
          <w:r>
            <w:rPr>
              <w:rFonts w:ascii="Century Gothic" w:hAnsi="Century Gothic"/>
            </w:rPr>
            <w:t xml:space="preserve">the extension of </w:t>
          </w:r>
          <w:proofErr w:type="spellStart"/>
          <w:r>
            <w:rPr>
              <w:rFonts w:ascii="Century Gothic" w:hAnsi="Century Gothic"/>
            </w:rPr>
            <w:t>Timberhill</w:t>
          </w:r>
          <w:proofErr w:type="spellEnd"/>
          <w:r>
            <w:rPr>
              <w:rFonts w:ascii="Century Gothic" w:hAnsi="Century Gothic"/>
            </w:rPr>
            <w:t xml:space="preserve"> Road be “gated”</w:t>
          </w:r>
          <w:r w:rsidR="00196E78">
            <w:rPr>
              <w:rFonts w:ascii="Century Gothic" w:hAnsi="Century Gothic"/>
            </w:rPr>
            <w:t xml:space="preserve"> (i.e., emergency access only)</w:t>
          </w:r>
          <w:r>
            <w:rPr>
              <w:rFonts w:ascii="Century Gothic" w:hAnsi="Century Gothic"/>
            </w:rPr>
            <w:t xml:space="preserve"> at the northern property line</w:t>
          </w:r>
          <w:r w:rsidR="00196E78">
            <w:rPr>
              <w:rFonts w:ascii="Century Gothic" w:hAnsi="Century Gothic"/>
            </w:rPr>
            <w:t>;</w:t>
          </w:r>
          <w:r>
            <w:rPr>
              <w:rFonts w:ascii="Century Gothic" w:hAnsi="Century Gothic"/>
            </w:rPr>
            <w:t xml:space="preserve"> and </w:t>
          </w:r>
          <w:r w:rsidR="0089695E">
            <w:rPr>
              <w:rFonts w:ascii="Century Gothic" w:hAnsi="Century Gothic"/>
            </w:rPr>
            <w:t xml:space="preserve">2) </w:t>
          </w:r>
          <w:r>
            <w:rPr>
              <w:rFonts w:ascii="Century Gothic" w:hAnsi="Century Gothic"/>
            </w:rPr>
            <w:t xml:space="preserve">a compliant emergency turnaround be installed in the southern portion of the 100-foot greenspace conservation easement.  </w:t>
          </w:r>
        </w:p>
        <w:p w:rsidR="00826B1E" w:rsidRDefault="00826B1E" w:rsidP="00826B1E">
          <w:pPr>
            <w:rPr>
              <w:rFonts w:ascii="Century Gothic" w:hAnsi="Century Gothic"/>
            </w:rPr>
          </w:pPr>
        </w:p>
        <w:p w:rsidR="00826B1E" w:rsidRDefault="00826B1E" w:rsidP="00826B1E">
          <w:pPr>
            <w:rPr>
              <w:rFonts w:ascii="Century Gothic" w:hAnsi="Century Gothic"/>
            </w:rPr>
          </w:pPr>
          <w:r>
            <w:rPr>
              <w:rFonts w:ascii="Century Gothic" w:hAnsi="Century Gothic"/>
            </w:rPr>
            <w:lastRenderedPageBreak/>
            <w:t>In arriving at its decision the Commission discussed the details of the development plan, the connection requirement</w:t>
          </w:r>
          <w:r w:rsidR="0089695E">
            <w:rPr>
              <w:rFonts w:ascii="Century Gothic" w:hAnsi="Century Gothic"/>
            </w:rPr>
            <w:t xml:space="preserve"> </w:t>
          </w:r>
          <w:r>
            <w:rPr>
              <w:rFonts w:ascii="Century Gothic" w:hAnsi="Century Gothic"/>
            </w:rPr>
            <w:t xml:space="preserve">for </w:t>
          </w:r>
          <w:proofErr w:type="spellStart"/>
          <w:r>
            <w:rPr>
              <w:rFonts w:ascii="Century Gothic" w:hAnsi="Century Gothic"/>
            </w:rPr>
            <w:t>Timberhill</w:t>
          </w:r>
          <w:proofErr w:type="spellEnd"/>
          <w:r>
            <w:rPr>
              <w:rFonts w:ascii="Century Gothic" w:hAnsi="Century Gothic"/>
            </w:rPr>
            <w:t xml:space="preserve"> Road and the </w:t>
          </w:r>
          <w:r w:rsidR="0089695E">
            <w:rPr>
              <w:rFonts w:ascii="Century Gothic" w:hAnsi="Century Gothic"/>
            </w:rPr>
            <w:t xml:space="preserve">access provisions for the </w:t>
          </w:r>
          <w:r>
            <w:rPr>
              <w:rFonts w:ascii="Century Gothic" w:hAnsi="Century Gothic"/>
            </w:rPr>
            <w:t xml:space="preserve">property north of Lots 12 and 13, the potential impact and likelihood of traffic using </w:t>
          </w:r>
          <w:proofErr w:type="spellStart"/>
          <w:r>
            <w:rPr>
              <w:rFonts w:ascii="Century Gothic" w:hAnsi="Century Gothic"/>
            </w:rPr>
            <w:t>Timberhil</w:t>
          </w:r>
          <w:proofErr w:type="spellEnd"/>
          <w:r w:rsidR="0089695E">
            <w:rPr>
              <w:rFonts w:ascii="Century Gothic" w:hAnsi="Century Gothic"/>
            </w:rPr>
            <w:t xml:space="preserve"> Road </w:t>
          </w:r>
          <w:r>
            <w:rPr>
              <w:rFonts w:ascii="Century Gothic" w:hAnsi="Century Gothic"/>
            </w:rPr>
            <w:t>as a secondary access</w:t>
          </w:r>
          <w:r w:rsidR="0089695E">
            <w:rPr>
              <w:rFonts w:ascii="Century Gothic" w:hAnsi="Century Gothic"/>
            </w:rPr>
            <w:t>/cut-through</w:t>
          </w:r>
          <w:r>
            <w:rPr>
              <w:rFonts w:ascii="Century Gothic" w:hAnsi="Century Gothic"/>
            </w:rPr>
            <w:t xml:space="preserve">, and alternative zoning for the area proposed as single-family lots.  </w:t>
          </w:r>
        </w:p>
        <w:p w:rsidR="00826B1E" w:rsidRDefault="00826B1E" w:rsidP="00826B1E">
          <w:pPr>
            <w:rPr>
              <w:rFonts w:ascii="Century Gothic" w:hAnsi="Century Gothic"/>
            </w:rPr>
          </w:pPr>
        </w:p>
        <w:p w:rsidR="00826B1E" w:rsidRDefault="00826B1E" w:rsidP="00826B1E">
          <w:pPr>
            <w:rPr>
              <w:rFonts w:ascii="Century Gothic" w:hAnsi="Century Gothic"/>
            </w:rPr>
          </w:pPr>
          <w:r>
            <w:rPr>
              <w:rFonts w:ascii="Century Gothic" w:hAnsi="Century Gothic"/>
            </w:rPr>
            <w:t>It sho</w:t>
          </w:r>
          <w:r w:rsidR="00DD4156">
            <w:rPr>
              <w:rFonts w:ascii="Century Gothic" w:hAnsi="Century Gothic"/>
            </w:rPr>
            <w:t>uld be noted that the December 6</w:t>
          </w:r>
          <w:r>
            <w:rPr>
              <w:rFonts w:ascii="Century Gothic" w:hAnsi="Century Gothic"/>
            </w:rPr>
            <w:t xml:space="preserve"> PUD Development Plan has been amended to address the Planning </w:t>
          </w:r>
          <w:r w:rsidR="00196E78">
            <w:rPr>
              <w:rFonts w:ascii="Century Gothic" w:hAnsi="Century Gothic"/>
            </w:rPr>
            <w:t xml:space="preserve">&amp; Zoning </w:t>
          </w:r>
          <w:r>
            <w:rPr>
              <w:rFonts w:ascii="Century Gothic" w:hAnsi="Century Gothic"/>
            </w:rPr>
            <w:t xml:space="preserve">Commission’s conditions of approval. </w:t>
          </w:r>
        </w:p>
        <w:p w:rsidR="00826B1E" w:rsidRDefault="00826B1E" w:rsidP="00826B1E">
          <w:pPr>
            <w:rPr>
              <w:rFonts w:ascii="Century Gothic" w:hAnsi="Century Gothic"/>
            </w:rPr>
          </w:pPr>
        </w:p>
        <w:p w:rsidR="00CE4274" w:rsidRDefault="00826B1E" w:rsidP="00CE4274">
          <w:pPr>
            <w:rPr>
              <w:rFonts w:ascii="Century Gothic" w:hAnsi="Century Gothic"/>
            </w:rPr>
          </w:pPr>
          <w:r>
            <w:rPr>
              <w:rFonts w:ascii="Century Gothic" w:hAnsi="Century Gothic"/>
            </w:rPr>
            <w:t>A copy of the revised PUD Development Plan (dated 12/20/16), revised Statement of Intent (dated 12/</w:t>
          </w:r>
          <w:r w:rsidR="00DD4156">
            <w:rPr>
              <w:rFonts w:ascii="Century Gothic" w:hAnsi="Century Gothic"/>
            </w:rPr>
            <w:t>6</w:t>
          </w:r>
          <w:r>
            <w:rPr>
              <w:rFonts w:ascii="Century Gothic" w:hAnsi="Century Gothic"/>
            </w:rPr>
            <w:t>/16), staff report, locator maps, Statement of Intent (dated 10/27/16), PUD Development Plan (dated 12/1/16</w:t>
          </w:r>
          <w:r w:rsidR="00BD5FCD">
            <w:rPr>
              <w:rFonts w:ascii="Century Gothic" w:hAnsi="Century Gothic"/>
            </w:rPr>
            <w:t xml:space="preserve">), building elevations, Case #15-12 PUD plan, public correspondence, and meeting excerpts are attached. </w:t>
          </w:r>
          <w:r w:rsidR="00F31ED6">
            <w:rPr>
              <w:rFonts w:ascii="Century Gothic" w:hAnsi="Century Gothic"/>
            </w:rPr>
            <w:t xml:space="preserve">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300EB5">
            <w:rPr>
              <w:rStyle w:val="Style3"/>
            </w:rPr>
            <w:t>None.  Public infrastructure extension/expansion would be at the cost of the developer.</w:t>
          </w:r>
          <w:r w:rsidR="00300EB5">
            <w:rPr>
              <w:rStyle w:val="Style3"/>
            </w:rPr>
            <w:br/>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Style3"/>
          </w:rPr>
        </w:sdtEndPr>
        <w:sdtContent>
          <w:r w:rsidR="00300EB5">
            <w:rPr>
              <w:rStyle w:val="Style3"/>
            </w:rPr>
            <w:t>Public infrastructure maintenance for utility services, as well as public safety and solid waste service provision.  Future impacts may or may not be offset by increased user fees and property tax collections.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2F669F">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300EB5">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300EB5">
            <w:rPr>
              <w:rStyle w:val="Style3"/>
            </w:rPr>
            <w:t>Transportation</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00EB5">
            <w:rPr>
              <w:rStyle w:val="Style3"/>
            </w:rPr>
            <w:t>Not Applicable</w:t>
          </w:r>
        </w:sdtContent>
      </w:sdt>
    </w:p>
    <w:p w:rsidR="004F48BF" w:rsidRDefault="004F48BF"/>
    <w:p w:rsidR="000E3DAB" w:rsidRDefault="002F669F">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300EB5">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00EB5">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00EB5">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300EB5">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00EB5">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00EB5">
            <w:rPr>
              <w:rStyle w:val="Style3"/>
            </w:rPr>
            <w:t>Livable &amp; Sustainable Communities</w:t>
          </w:r>
        </w:sdtContent>
      </w:sdt>
    </w:p>
    <w:p w:rsidR="0041404F" w:rsidRDefault="0041404F">
      <w:pPr>
        <w:rPr>
          <w:rFonts w:ascii="Century Gothic" w:hAnsi="Century Gothic"/>
        </w:rPr>
      </w:pPr>
    </w:p>
    <w:p w:rsidR="0057716D" w:rsidRDefault="0057716D">
      <w:pPr>
        <w:rPr>
          <w:rFonts w:ascii="Century Gothic" w:hAnsi="Century Gothic"/>
        </w:rPr>
      </w:pPr>
    </w:p>
    <w:p w:rsidR="0057716D" w:rsidRDefault="0057716D">
      <w:pPr>
        <w:rPr>
          <w:rFonts w:ascii="Century Gothic" w:hAnsi="Century Gothic"/>
        </w:rPr>
      </w:pPr>
    </w:p>
    <w:p w:rsidR="0057716D" w:rsidRDefault="0057716D">
      <w:pPr>
        <w:rPr>
          <w:rFonts w:ascii="Century Gothic" w:hAnsi="Century Gothic"/>
        </w:rPr>
      </w:pPr>
    </w:p>
    <w:p w:rsidR="0057716D" w:rsidRDefault="0057716D">
      <w:pPr>
        <w:rPr>
          <w:rFonts w:ascii="Century Gothic" w:hAnsi="Century Gothic"/>
        </w:rPr>
      </w:pPr>
    </w:p>
    <w:p w:rsidR="0057716D" w:rsidRDefault="0057716D">
      <w:pPr>
        <w:rPr>
          <w:rFonts w:ascii="Century Gothic" w:hAnsi="Century Gothic"/>
        </w:rPr>
      </w:pPr>
    </w:p>
    <w:p w:rsidR="0057716D" w:rsidRDefault="0057716D">
      <w:pPr>
        <w:rPr>
          <w:rFonts w:ascii="Century Gothic" w:hAnsi="Century Gothic"/>
        </w:rPr>
      </w:pPr>
    </w:p>
    <w:p w:rsidR="0057716D" w:rsidRDefault="0057716D">
      <w:pPr>
        <w:rPr>
          <w:rFonts w:ascii="Century Gothic" w:hAnsi="Century Gothic"/>
        </w:rPr>
      </w:pPr>
    </w:p>
    <w:p w:rsidR="0057716D" w:rsidRDefault="0057716D">
      <w:pPr>
        <w:rPr>
          <w:rFonts w:ascii="Century Gothic" w:hAnsi="Century Gothic"/>
        </w:rPr>
      </w:pPr>
    </w:p>
    <w:p w:rsidR="0057716D" w:rsidRDefault="0057716D">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1440"/>
        <w:gridCol w:w="9180"/>
      </w:tblGrid>
      <w:tr w:rsidR="00C379A1" w:rsidTr="00451C79">
        <w:tc>
          <w:tcPr>
            <w:tcW w:w="144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918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51C79">
        <w:sdt>
          <w:sdtPr>
            <w:rPr>
              <w:rFonts w:ascii="Century Gothic" w:hAnsi="Century Gothic"/>
            </w:rPr>
            <w:id w:val="-543912427"/>
            <w:placeholder>
              <w:docPart w:val="AF28ABD0C79441BC88DC08AA0C134A14"/>
            </w:placeholder>
          </w:sdtPr>
          <w:sdtEndPr/>
          <w:sdtContent>
            <w:tc>
              <w:tcPr>
                <w:tcW w:w="1440" w:type="dxa"/>
                <w:shd w:val="clear" w:color="auto" w:fill="auto"/>
              </w:tcPr>
              <w:p w:rsidR="00451C79" w:rsidRDefault="00451C79" w:rsidP="00451C79">
                <w:pPr>
                  <w:rPr>
                    <w:rFonts w:ascii="Century Gothic" w:hAnsi="Century Gothic"/>
                  </w:rPr>
                </w:pPr>
                <w:r>
                  <w:rPr>
                    <w:rFonts w:ascii="Century Gothic" w:hAnsi="Century Gothic"/>
                  </w:rPr>
                  <w:t>5/4/15</w:t>
                </w:r>
              </w:p>
              <w:p w:rsidR="00451C79" w:rsidRDefault="00451C79" w:rsidP="00451C79">
                <w:pPr>
                  <w:rPr>
                    <w:rFonts w:ascii="Century Gothic" w:hAnsi="Century Gothic"/>
                  </w:rPr>
                </w:pPr>
                <w:r>
                  <w:rPr>
                    <w:rFonts w:ascii="Century Gothic" w:hAnsi="Century Gothic"/>
                  </w:rPr>
                  <w:t>4/17/14</w:t>
                </w:r>
              </w:p>
              <w:p w:rsidR="004C26F6" w:rsidRDefault="00451C79" w:rsidP="00451C79">
                <w:pPr>
                  <w:rPr>
                    <w:rFonts w:ascii="Century Gothic" w:hAnsi="Century Gothic"/>
                  </w:rPr>
                </w:pPr>
                <w:r>
                  <w:rPr>
                    <w:rFonts w:ascii="Century Gothic" w:hAnsi="Century Gothic"/>
                  </w:rPr>
                  <w:t>2/3/14</w:t>
                </w:r>
              </w:p>
            </w:tc>
          </w:sdtContent>
        </w:sdt>
        <w:sdt>
          <w:sdtPr>
            <w:rPr>
              <w:rFonts w:ascii="Century Gothic" w:hAnsi="Century Gothic"/>
            </w:rPr>
            <w:id w:val="1450981277"/>
            <w:placeholder>
              <w:docPart w:val="F1D4D5A078944E1887EC6769811D8125"/>
            </w:placeholder>
          </w:sdtPr>
          <w:sdtEndPr/>
          <w:sdtContent>
            <w:tc>
              <w:tcPr>
                <w:tcW w:w="9180" w:type="dxa"/>
                <w:shd w:val="clear" w:color="auto" w:fill="auto"/>
              </w:tcPr>
              <w:p w:rsidR="00451C79" w:rsidRDefault="00451C79" w:rsidP="00451C79">
                <w:pPr>
                  <w:rPr>
                    <w:rFonts w:ascii="Century Gothic" w:hAnsi="Century Gothic"/>
                  </w:rPr>
                </w:pPr>
                <w:r>
                  <w:rPr>
                    <w:rFonts w:ascii="Century Gothic" w:hAnsi="Century Gothic"/>
                  </w:rPr>
                  <w:t>Defeated rezoning (A-1 to PUD 11) and PUD plan (B86-15)</w:t>
                </w:r>
              </w:p>
              <w:p w:rsidR="00451C79" w:rsidRDefault="00451C79" w:rsidP="00451C79">
                <w:pPr>
                  <w:rPr>
                    <w:rFonts w:ascii="Century Gothic" w:hAnsi="Century Gothic"/>
                  </w:rPr>
                </w:pPr>
                <w:r>
                  <w:rPr>
                    <w:rFonts w:ascii="Century Gothic" w:hAnsi="Century Gothic"/>
                  </w:rPr>
                  <w:t>Defeated reconsideration rezoning (A-1 to PUD 11) and PUD plan (REP 28-14)</w:t>
                </w:r>
              </w:p>
              <w:p w:rsidR="004C26F6" w:rsidRDefault="00451C79" w:rsidP="00451C79">
                <w:pPr>
                  <w:rPr>
                    <w:rFonts w:ascii="Century Gothic" w:hAnsi="Century Gothic"/>
                  </w:rPr>
                </w:pPr>
                <w:r>
                  <w:rPr>
                    <w:rFonts w:ascii="Century Gothic" w:hAnsi="Century Gothic"/>
                  </w:rPr>
                  <w:t>Amended &amp; defeated rezoning (A-1 to PUD 11) and PUD plan (B372-13)</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451C79" w:rsidP="00C379A1">
          <w:pPr>
            <w:tabs>
              <w:tab w:val="left" w:pos="4530"/>
            </w:tabs>
            <w:rPr>
              <w:rFonts w:ascii="Century Gothic" w:hAnsi="Century Gothic"/>
            </w:rPr>
          </w:pPr>
          <w:r>
            <w:rPr>
              <w:rFonts w:ascii="Century Gothic" w:hAnsi="Century Gothic"/>
            </w:rPr>
            <w:t xml:space="preserve">Approve the requested rezoning from A-1 to PUD 10 and </w:t>
          </w:r>
          <w:r w:rsidR="0057716D">
            <w:rPr>
              <w:rFonts w:ascii="Century Gothic" w:hAnsi="Century Gothic"/>
            </w:rPr>
            <w:t xml:space="preserve">PUD Development Plan subject to gating extension of </w:t>
          </w:r>
          <w:proofErr w:type="spellStart"/>
          <w:r w:rsidR="0057716D">
            <w:rPr>
              <w:rFonts w:ascii="Century Gothic" w:hAnsi="Century Gothic"/>
            </w:rPr>
            <w:t>Timberhill</w:t>
          </w:r>
          <w:proofErr w:type="spellEnd"/>
          <w:r w:rsidR="0057716D">
            <w:rPr>
              <w:rFonts w:ascii="Century Gothic" w:hAnsi="Century Gothic"/>
            </w:rPr>
            <w:t xml:space="preserve"> Road and installation of emergency turnaround as recommended by the Planning and Zoning Commission.</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69F" w:rsidRDefault="002F669F" w:rsidP="004A4C2D">
      <w:r>
        <w:separator/>
      </w:r>
    </w:p>
  </w:endnote>
  <w:endnote w:type="continuationSeparator" w:id="0">
    <w:p w:rsidR="002F669F" w:rsidRDefault="002F669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69F" w:rsidRDefault="002F669F" w:rsidP="004A4C2D">
      <w:r>
        <w:separator/>
      </w:r>
    </w:p>
  </w:footnote>
  <w:footnote w:type="continuationSeparator" w:id="0">
    <w:p w:rsidR="002F669F" w:rsidRDefault="002F669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C406F"/>
    <w:rsid w:val="000D1D42"/>
    <w:rsid w:val="000E2AA6"/>
    <w:rsid w:val="000E3DAB"/>
    <w:rsid w:val="0011191B"/>
    <w:rsid w:val="00141952"/>
    <w:rsid w:val="00160464"/>
    <w:rsid w:val="00196E78"/>
    <w:rsid w:val="001E142A"/>
    <w:rsid w:val="001F1288"/>
    <w:rsid w:val="002773F7"/>
    <w:rsid w:val="002C289E"/>
    <w:rsid w:val="002D380E"/>
    <w:rsid w:val="002F3061"/>
    <w:rsid w:val="002F669F"/>
    <w:rsid w:val="00300EB5"/>
    <w:rsid w:val="00340994"/>
    <w:rsid w:val="00344C59"/>
    <w:rsid w:val="00381A9D"/>
    <w:rsid w:val="003A2B79"/>
    <w:rsid w:val="003C57DC"/>
    <w:rsid w:val="0041404F"/>
    <w:rsid w:val="00451C79"/>
    <w:rsid w:val="00480AED"/>
    <w:rsid w:val="0048496D"/>
    <w:rsid w:val="004A4C2D"/>
    <w:rsid w:val="004A51CB"/>
    <w:rsid w:val="004C26F6"/>
    <w:rsid w:val="004C2DE4"/>
    <w:rsid w:val="004F48BF"/>
    <w:rsid w:val="00541BFF"/>
    <w:rsid w:val="00572FBB"/>
    <w:rsid w:val="0057716D"/>
    <w:rsid w:val="005831E4"/>
    <w:rsid w:val="00591DC5"/>
    <w:rsid w:val="005B3871"/>
    <w:rsid w:val="005B4F27"/>
    <w:rsid w:val="005F6088"/>
    <w:rsid w:val="00625FCB"/>
    <w:rsid w:val="00626286"/>
    <w:rsid w:val="00646D99"/>
    <w:rsid w:val="006D6E9E"/>
    <w:rsid w:val="006F185A"/>
    <w:rsid w:val="00791D82"/>
    <w:rsid w:val="007F3629"/>
    <w:rsid w:val="008078EB"/>
    <w:rsid w:val="00826B1E"/>
    <w:rsid w:val="008372DA"/>
    <w:rsid w:val="00851E74"/>
    <w:rsid w:val="00852DF7"/>
    <w:rsid w:val="00883565"/>
    <w:rsid w:val="0089695E"/>
    <w:rsid w:val="008C6849"/>
    <w:rsid w:val="008F0551"/>
    <w:rsid w:val="0091628B"/>
    <w:rsid w:val="00942001"/>
    <w:rsid w:val="00945C5D"/>
    <w:rsid w:val="00952E34"/>
    <w:rsid w:val="00970DAF"/>
    <w:rsid w:val="00974B88"/>
    <w:rsid w:val="009851C2"/>
    <w:rsid w:val="00992DCF"/>
    <w:rsid w:val="00995129"/>
    <w:rsid w:val="009A6D2D"/>
    <w:rsid w:val="009B0B65"/>
    <w:rsid w:val="009B5E9C"/>
    <w:rsid w:val="009D5168"/>
    <w:rsid w:val="00A1272F"/>
    <w:rsid w:val="00A37B59"/>
    <w:rsid w:val="00A67E22"/>
    <w:rsid w:val="00A85777"/>
    <w:rsid w:val="00B158FC"/>
    <w:rsid w:val="00B17CCC"/>
    <w:rsid w:val="00B41CD0"/>
    <w:rsid w:val="00B62049"/>
    <w:rsid w:val="00B972D7"/>
    <w:rsid w:val="00BA374B"/>
    <w:rsid w:val="00BC6C39"/>
    <w:rsid w:val="00BD5FCD"/>
    <w:rsid w:val="00BD7739"/>
    <w:rsid w:val="00BE10D5"/>
    <w:rsid w:val="00BE5FE4"/>
    <w:rsid w:val="00C26D7E"/>
    <w:rsid w:val="00C34BE7"/>
    <w:rsid w:val="00C379A1"/>
    <w:rsid w:val="00C737CC"/>
    <w:rsid w:val="00C93741"/>
    <w:rsid w:val="00CE4274"/>
    <w:rsid w:val="00D046B2"/>
    <w:rsid w:val="00D102C6"/>
    <w:rsid w:val="00D42D7E"/>
    <w:rsid w:val="00D44CD9"/>
    <w:rsid w:val="00D85A25"/>
    <w:rsid w:val="00DC18D1"/>
    <w:rsid w:val="00DD4156"/>
    <w:rsid w:val="00DE2810"/>
    <w:rsid w:val="00DF4837"/>
    <w:rsid w:val="00E21F4E"/>
    <w:rsid w:val="00E518F5"/>
    <w:rsid w:val="00E52526"/>
    <w:rsid w:val="00E74D19"/>
    <w:rsid w:val="00EA63FD"/>
    <w:rsid w:val="00EB1A02"/>
    <w:rsid w:val="00EC2404"/>
    <w:rsid w:val="00ED0053"/>
    <w:rsid w:val="00ED1548"/>
    <w:rsid w:val="00EE317A"/>
    <w:rsid w:val="00F214E8"/>
    <w:rsid w:val="00F30B5A"/>
    <w:rsid w:val="00F31ED6"/>
    <w:rsid w:val="00F61EE4"/>
    <w:rsid w:val="00F90AB9"/>
    <w:rsid w:val="00F91525"/>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EBCC67-398D-4BE4-BFD2-1E7CE4BD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C27C9"/>
    <w:rsid w:val="002E6193"/>
    <w:rsid w:val="00331D1F"/>
    <w:rsid w:val="003C79DA"/>
    <w:rsid w:val="00412C43"/>
    <w:rsid w:val="0043257E"/>
    <w:rsid w:val="0048648C"/>
    <w:rsid w:val="004C0099"/>
    <w:rsid w:val="004C7A0B"/>
    <w:rsid w:val="004E387E"/>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0501A"/>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8648C"/>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21AD5DE3836340119A3A92ED0A7645F8">
    <w:name w:val="21AD5DE3836340119A3A92ED0A7645F8"/>
    <w:rsid w:val="00486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B29D-B56B-4730-AC1A-9E5E82F4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5</cp:revision>
  <cp:lastPrinted>2013-11-01T14:38:00Z</cp:lastPrinted>
  <dcterms:created xsi:type="dcterms:W3CDTF">2016-12-21T23:19:00Z</dcterms:created>
  <dcterms:modified xsi:type="dcterms:W3CDTF">2016-12-22T19:43:00Z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