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D511A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5B10">
            <w:rPr>
              <w:rStyle w:val="Style3"/>
            </w:rPr>
            <w:t>January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proofErr w:type="spellStart"/>
          <w:r w:rsidR="00C1787D">
            <w:rPr>
              <w:rStyle w:val="Style3"/>
              <w:rFonts w:eastAsiaTheme="majorEastAsia"/>
            </w:rPr>
            <w:t>Mattingley</w:t>
          </w:r>
          <w:proofErr w:type="spellEnd"/>
          <w:r w:rsidR="005F294A">
            <w:rPr>
              <w:rStyle w:val="Style3"/>
              <w:rFonts w:eastAsiaTheme="majorEastAsia"/>
            </w:rPr>
            <w:t xml:space="preserve"> Subdi</w:t>
          </w:r>
          <w:r w:rsidR="00C1787D">
            <w:rPr>
              <w:rStyle w:val="Style3"/>
              <w:rFonts w:eastAsiaTheme="majorEastAsia"/>
            </w:rPr>
            <w:t>vision – Final Plat (Case 16-158</w:t>
          </w:r>
          <w:r w:rsidR="005F294A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5D511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this request w</w:t>
          </w:r>
          <w:r w:rsidR="005F294A">
            <w:rPr>
              <w:rFonts w:ascii="Century Gothic" w:hAnsi="Century Gothic"/>
            </w:rPr>
            <w:t xml:space="preserve">ill result in the creation a two-lot subdivision, to be known as </w:t>
          </w:r>
          <w:r w:rsidR="00EB03DF">
            <w:rPr>
              <w:rFonts w:ascii="Century Gothic" w:hAnsi="Century Gothic"/>
            </w:rPr>
            <w:t>“</w:t>
          </w:r>
          <w:proofErr w:type="spellStart"/>
          <w:r w:rsidR="00C1787D">
            <w:rPr>
              <w:rFonts w:ascii="Century Gothic" w:hAnsi="Century Gothic"/>
            </w:rPr>
            <w:t>Mattingley</w:t>
          </w:r>
          <w:proofErr w:type="spellEnd"/>
          <w:r w:rsidR="00EB03DF">
            <w:rPr>
              <w:rFonts w:ascii="Century Gothic" w:hAnsi="Century Gothic"/>
            </w:rPr>
            <w:t xml:space="preserve"> Subdivision”</w:t>
          </w:r>
          <w:r w:rsidR="005F294A" w:rsidRPr="00B07F1E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43664" wp14:editId="60F771D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43664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EA10E9" w:rsidRPr="00FC07B0" w:rsidRDefault="00C1787D" w:rsidP="00C1787D">
          <w:pPr>
            <w:spacing w:line="260" w:lineRule="exact"/>
            <w:rPr>
              <w:rFonts w:ascii="Century Gothic" w:hAnsi="Century Gothic"/>
            </w:rPr>
          </w:pPr>
          <w:r w:rsidRPr="00FC07B0">
            <w:rPr>
              <w:rFonts w:ascii="Century Gothic" w:hAnsi="Century Gothic"/>
            </w:rPr>
            <w:t xml:space="preserve">The applicant is proposing the subdivision of </w:t>
          </w:r>
          <w:r w:rsidR="00EA10E9" w:rsidRPr="00FC07B0">
            <w:rPr>
              <w:rFonts w:ascii="Century Gothic" w:hAnsi="Century Gothic"/>
            </w:rPr>
            <w:t xml:space="preserve">“Lot 6 of </w:t>
          </w:r>
          <w:proofErr w:type="spellStart"/>
          <w:r w:rsidR="00EA10E9" w:rsidRPr="00FC07B0">
            <w:rPr>
              <w:rFonts w:ascii="Century Gothic" w:hAnsi="Century Gothic"/>
            </w:rPr>
            <w:t>Timberlane</w:t>
          </w:r>
          <w:proofErr w:type="spellEnd"/>
          <w:r w:rsidR="00EA10E9" w:rsidRPr="00FC07B0">
            <w:rPr>
              <w:rFonts w:ascii="Century Gothic" w:hAnsi="Century Gothic"/>
            </w:rPr>
            <w:t xml:space="preserve"> Subdivision”</w:t>
          </w:r>
          <w:r w:rsidRPr="00FC07B0">
            <w:rPr>
              <w:rFonts w:ascii="Century Gothic" w:hAnsi="Century Gothic"/>
            </w:rPr>
            <w:t xml:space="preserve">, located at the northwest corner of Wren Wood Drive and Ballenger Lane. </w:t>
          </w:r>
          <w:r w:rsidR="00EA10E9" w:rsidRPr="00FC07B0">
            <w:rPr>
              <w:rFonts w:ascii="Century Gothic" w:hAnsi="Century Gothic"/>
            </w:rPr>
            <w:t xml:space="preserve">At the time of its approval, </w:t>
          </w:r>
          <w:r w:rsidR="005602E2" w:rsidRPr="00FC07B0">
            <w:rPr>
              <w:rFonts w:ascii="Century Gothic" w:hAnsi="Century Gothic"/>
            </w:rPr>
            <w:t xml:space="preserve">in 1964, </w:t>
          </w:r>
          <w:r w:rsidR="00EA10E9" w:rsidRPr="00FC07B0">
            <w:rPr>
              <w:rFonts w:ascii="Century Gothic" w:hAnsi="Century Gothic"/>
            </w:rPr>
            <w:t>the platted property</w:t>
          </w:r>
          <w:r w:rsidR="00405B10">
            <w:rPr>
              <w:rFonts w:ascii="Century Gothic" w:hAnsi="Century Gothic"/>
            </w:rPr>
            <w:t xml:space="preserve"> was located with</w:t>
          </w:r>
          <w:r w:rsidR="00EA10E9" w:rsidRPr="00FC07B0">
            <w:rPr>
              <w:rFonts w:ascii="Century Gothic" w:hAnsi="Century Gothic"/>
            </w:rPr>
            <w:t xml:space="preserve">in </w:t>
          </w:r>
          <w:r w:rsidR="00405B10">
            <w:rPr>
              <w:rFonts w:ascii="Century Gothic" w:hAnsi="Century Gothic"/>
            </w:rPr>
            <w:t>Boone C</w:t>
          </w:r>
          <w:r w:rsidR="00EA10E9" w:rsidRPr="00FC07B0">
            <w:rPr>
              <w:rFonts w:ascii="Century Gothic" w:hAnsi="Century Gothic"/>
            </w:rPr>
            <w:t>ounty</w:t>
          </w:r>
          <w:r w:rsidR="00405B10">
            <w:rPr>
              <w:rFonts w:ascii="Century Gothic" w:hAnsi="Century Gothic"/>
            </w:rPr>
            <w:t xml:space="preserve">; however, was annexed </w:t>
          </w:r>
          <w:r w:rsidR="005602E2" w:rsidRPr="00FC07B0">
            <w:rPr>
              <w:rFonts w:ascii="Century Gothic" w:hAnsi="Century Gothic"/>
            </w:rPr>
            <w:t>into the City of Columbia in 1969.</w:t>
          </w:r>
          <w:r w:rsidR="00405B10" w:rsidRPr="00405B10">
            <w:rPr>
              <w:rFonts w:ascii="Century Gothic" w:hAnsi="Century Gothic"/>
            </w:rPr>
            <w:t xml:space="preserve"> </w:t>
          </w:r>
          <w:r w:rsidR="00405B10">
            <w:rPr>
              <w:rFonts w:ascii="Century Gothic" w:hAnsi="Century Gothic"/>
            </w:rPr>
            <w:t xml:space="preserve"> The 0.61-acre site is improved with a two-family home.</w:t>
          </w:r>
        </w:p>
        <w:p w:rsidR="00EA10E9" w:rsidRPr="00FC07B0" w:rsidRDefault="00EA10E9" w:rsidP="00C1787D">
          <w:pPr>
            <w:spacing w:line="260" w:lineRule="exact"/>
            <w:rPr>
              <w:rFonts w:ascii="Century Gothic" w:hAnsi="Century Gothic"/>
            </w:rPr>
          </w:pPr>
        </w:p>
        <w:p w:rsidR="00C1787D" w:rsidRPr="00FC07B0" w:rsidRDefault="00C1787D" w:rsidP="00C1787D">
          <w:pPr>
            <w:spacing w:line="260" w:lineRule="exact"/>
            <w:rPr>
              <w:rFonts w:ascii="Century Gothic" w:hAnsi="Century Gothic"/>
            </w:rPr>
          </w:pPr>
          <w:r w:rsidRPr="00FC07B0">
            <w:rPr>
              <w:rFonts w:ascii="Century Gothic" w:hAnsi="Century Gothic"/>
            </w:rPr>
            <w:t xml:space="preserve">The existing lot is currently zoned R-2 (Two-Family Residential) and holds a </w:t>
          </w:r>
          <w:r w:rsidR="00FC07B0" w:rsidRPr="00FC07B0">
            <w:rPr>
              <w:rFonts w:ascii="Century Gothic" w:hAnsi="Century Gothic"/>
            </w:rPr>
            <w:t>two-family residential structure</w:t>
          </w:r>
          <w:r w:rsidRPr="00FC07B0">
            <w:rPr>
              <w:rFonts w:ascii="Century Gothic" w:hAnsi="Century Gothic"/>
            </w:rPr>
            <w:t xml:space="preserve">. The applicant would like to split the lot in order to prepare the parcel for construction of an additional </w:t>
          </w:r>
          <w:r w:rsidR="00FC07B0" w:rsidRPr="00FC07B0">
            <w:rPr>
              <w:rFonts w:ascii="Century Gothic" w:hAnsi="Century Gothic"/>
            </w:rPr>
            <w:t>two-family home</w:t>
          </w:r>
          <w:r w:rsidRPr="00FC07B0">
            <w:rPr>
              <w:rFonts w:ascii="Century Gothic" w:hAnsi="Century Gothic"/>
            </w:rPr>
            <w:t xml:space="preserve">, west of the existing structure. Lot 1, to the east, is 0.31 acres and holds the existing structure which will remain on the lot. Lot 2 will be approximately 0.38 acres, and will be developed in the future with </w:t>
          </w:r>
          <w:r w:rsidR="00405B10">
            <w:rPr>
              <w:rFonts w:ascii="Century Gothic" w:hAnsi="Century Gothic"/>
            </w:rPr>
            <w:t xml:space="preserve">an </w:t>
          </w:r>
          <w:r w:rsidRPr="00FC07B0">
            <w:rPr>
              <w:rFonts w:ascii="Century Gothic" w:hAnsi="Century Gothic"/>
            </w:rPr>
            <w:t xml:space="preserve">additional two-family structure. </w:t>
          </w:r>
        </w:p>
        <w:p w:rsidR="00C1787D" w:rsidRPr="00FC07B0" w:rsidRDefault="00C1787D" w:rsidP="00C1787D">
          <w:pPr>
            <w:spacing w:line="260" w:lineRule="exact"/>
            <w:rPr>
              <w:rFonts w:ascii="Century Gothic" w:hAnsi="Century Gothic"/>
            </w:rPr>
          </w:pPr>
        </w:p>
        <w:p w:rsidR="00405B10" w:rsidRDefault="00C1787D" w:rsidP="00C1787D">
          <w:pPr>
            <w:spacing w:line="260" w:lineRule="exact"/>
            <w:rPr>
              <w:rFonts w:ascii="Century Gothic" w:hAnsi="Century Gothic"/>
            </w:rPr>
          </w:pPr>
          <w:r w:rsidRPr="00FC07B0">
            <w:rPr>
              <w:rFonts w:ascii="Century Gothic" w:hAnsi="Century Gothic"/>
            </w:rPr>
            <w:t>Ballenger Lane is a major arterial roadway, requir</w:t>
          </w:r>
          <w:r w:rsidR="00405B10">
            <w:rPr>
              <w:rFonts w:ascii="Century Gothic" w:hAnsi="Century Gothic"/>
            </w:rPr>
            <w:t>ing a right-of-way of 106 feet of which only 70-feet of right of way has been obtained.  The proposed plat dedicates its required half-width (</w:t>
          </w:r>
          <w:r w:rsidR="00FC07B0" w:rsidRPr="00FC07B0">
            <w:rPr>
              <w:rFonts w:ascii="Century Gothic" w:hAnsi="Century Gothic"/>
            </w:rPr>
            <w:t>18-f</w:t>
          </w:r>
          <w:r w:rsidR="00405B10">
            <w:rPr>
              <w:rFonts w:ascii="Century Gothic" w:hAnsi="Century Gothic"/>
            </w:rPr>
            <w:t>ee</w:t>
          </w:r>
          <w:r w:rsidRPr="00FC07B0">
            <w:rPr>
              <w:rFonts w:ascii="Century Gothic" w:hAnsi="Century Gothic"/>
            </w:rPr>
            <w:t>t</w:t>
          </w:r>
          <w:r w:rsidR="00405B10">
            <w:rPr>
              <w:rFonts w:ascii="Century Gothic" w:hAnsi="Century Gothic"/>
            </w:rPr>
            <w:t>) to meet the Subdivision Regulation requirements.  Additionally, the plat provides</w:t>
          </w:r>
          <w:r w:rsidRPr="00FC07B0">
            <w:rPr>
              <w:rFonts w:ascii="Century Gothic" w:hAnsi="Century Gothic"/>
            </w:rPr>
            <w:t xml:space="preserve"> the required 10-foot utility easement</w:t>
          </w:r>
          <w:r w:rsidR="00FC07B0" w:rsidRPr="00FC07B0">
            <w:rPr>
              <w:rFonts w:ascii="Century Gothic" w:hAnsi="Century Gothic"/>
            </w:rPr>
            <w:t>,</w:t>
          </w:r>
          <w:r w:rsidRPr="00FC07B0">
            <w:rPr>
              <w:rFonts w:ascii="Century Gothic" w:hAnsi="Century Gothic"/>
            </w:rPr>
            <w:t xml:space="preserve"> along both street frontages. </w:t>
          </w:r>
          <w:r w:rsidR="00405B10">
            <w:rPr>
              <w:rFonts w:ascii="Century Gothic" w:hAnsi="Century Gothic"/>
            </w:rPr>
            <w:t xml:space="preserve"> </w:t>
          </w:r>
        </w:p>
        <w:p w:rsidR="00405B10" w:rsidRDefault="00405B10" w:rsidP="00C1787D">
          <w:pPr>
            <w:spacing w:line="260" w:lineRule="exact"/>
            <w:rPr>
              <w:rFonts w:ascii="Century Gothic" w:hAnsi="Century Gothic"/>
            </w:rPr>
          </w:pPr>
        </w:p>
        <w:p w:rsidR="00C1787D" w:rsidRPr="00FC07B0" w:rsidRDefault="00405B10" w:rsidP="00C1787D">
          <w:pPr>
            <w:spacing w:line="260" w:lineRule="exac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As a result of the </w:t>
          </w:r>
          <w:r w:rsidR="00C1787D" w:rsidRPr="00FC07B0">
            <w:rPr>
              <w:rFonts w:ascii="Century Gothic" w:hAnsi="Century Gothic"/>
            </w:rPr>
            <w:t xml:space="preserve">additional right-of-way </w:t>
          </w:r>
          <w:r>
            <w:rPr>
              <w:rFonts w:ascii="Century Gothic" w:hAnsi="Century Gothic"/>
            </w:rPr>
            <w:t xml:space="preserve">dedication, the current improvements will become </w:t>
          </w:r>
          <w:r w:rsidR="00C1787D" w:rsidRPr="00FC07B0">
            <w:rPr>
              <w:rFonts w:ascii="Century Gothic" w:hAnsi="Century Gothic"/>
            </w:rPr>
            <w:t>legal-nonconforming</w:t>
          </w:r>
          <w:r>
            <w:rPr>
              <w:rFonts w:ascii="Century Gothic" w:hAnsi="Century Gothic"/>
            </w:rPr>
            <w:t>.</w:t>
          </w:r>
          <w:r w:rsidR="00C1787D" w:rsidRPr="00FC07B0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 </w:t>
          </w:r>
          <w:r w:rsidR="00C1787D" w:rsidRPr="00FC07B0">
            <w:rPr>
              <w:rFonts w:ascii="Century Gothic" w:hAnsi="Century Gothic"/>
            </w:rPr>
            <w:t xml:space="preserve">The northeast corner of the structure protrudes into the required side yard by approximately 1.3 feet. </w:t>
          </w:r>
          <w:r>
            <w:rPr>
              <w:rFonts w:ascii="Century Gothic" w:hAnsi="Century Gothic"/>
            </w:rPr>
            <w:t xml:space="preserve"> </w:t>
          </w:r>
          <w:r w:rsidR="00C1787D" w:rsidRPr="00FC07B0">
            <w:rPr>
              <w:rFonts w:ascii="Century Gothic" w:hAnsi="Century Gothic"/>
            </w:rPr>
            <w:t xml:space="preserve">As this is a product of the dedication of right-of-way, the structure can remain on the property in </w:t>
          </w:r>
          <w:r w:rsidR="00FC07B0" w:rsidRPr="00FC07B0">
            <w:rPr>
              <w:rFonts w:ascii="Century Gothic" w:hAnsi="Century Gothic"/>
            </w:rPr>
            <w:t>its current state, so long as the structure</w:t>
          </w:r>
          <w:r w:rsidR="00C1787D" w:rsidRPr="00FC07B0">
            <w:rPr>
              <w:rFonts w:ascii="Century Gothic" w:hAnsi="Century Gothic"/>
            </w:rPr>
            <w:t xml:space="preserve"> is not destroyed beyond 75 percent of its reasonable valuation. </w:t>
          </w:r>
          <w:r>
            <w:rPr>
              <w:rFonts w:ascii="Century Gothic" w:hAnsi="Century Gothic"/>
            </w:rPr>
            <w:t xml:space="preserve"> If such destruction would occur the parcel would be required to be built in compliance with the new setbacks.</w:t>
          </w:r>
        </w:p>
        <w:p w:rsidR="00C1787D" w:rsidRPr="00FC07B0" w:rsidRDefault="00C1787D" w:rsidP="00C1787D">
          <w:pPr>
            <w:spacing w:line="260" w:lineRule="exact"/>
            <w:rPr>
              <w:rFonts w:ascii="Century Gothic" w:hAnsi="Century Gothic"/>
            </w:rPr>
          </w:pPr>
        </w:p>
        <w:p w:rsidR="00C1787D" w:rsidRPr="00FC07B0" w:rsidRDefault="00405B10" w:rsidP="00C1787D">
          <w:pPr>
            <w:spacing w:line="260" w:lineRule="exact"/>
            <w:ind w:right="18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As part of the plat review i</w:t>
          </w:r>
          <w:r w:rsidR="00C1787D" w:rsidRPr="00FC07B0">
            <w:rPr>
              <w:rFonts w:ascii="Century Gothic" w:hAnsi="Century Gothic"/>
            </w:rPr>
            <w:t xml:space="preserve">t was determined that </w:t>
          </w:r>
          <w:proofErr w:type="spellStart"/>
          <w:r w:rsidR="00C1787D" w:rsidRPr="00FC07B0">
            <w:rPr>
              <w:rFonts w:ascii="Century Gothic" w:hAnsi="Century Gothic"/>
            </w:rPr>
            <w:t>stormwater</w:t>
          </w:r>
          <w:proofErr w:type="spellEnd"/>
          <w:r w:rsidR="00C1787D" w:rsidRPr="00FC07B0">
            <w:rPr>
              <w:rFonts w:ascii="Century Gothic" w:hAnsi="Century Gothic"/>
            </w:rPr>
            <w:t xml:space="preserve"> improvements would be required as detailed in Section 12A, Article V (</w:t>
          </w:r>
          <w:proofErr w:type="spellStart"/>
          <w:r w:rsidR="00C1787D" w:rsidRPr="00FC07B0">
            <w:rPr>
              <w:rFonts w:ascii="Century Gothic" w:hAnsi="Century Gothic"/>
            </w:rPr>
            <w:t>Stormwater</w:t>
          </w:r>
          <w:proofErr w:type="spellEnd"/>
          <w:r w:rsidR="00C1787D" w:rsidRPr="00FC07B0">
            <w:rPr>
              <w:rFonts w:ascii="Century Gothic" w:hAnsi="Century Gothic"/>
            </w:rPr>
            <w:t xml:space="preserve"> Management) </w:t>
          </w:r>
          <w:r w:rsidR="001B662E">
            <w:rPr>
              <w:rFonts w:ascii="Century Gothic" w:hAnsi="Century Gothic"/>
            </w:rPr>
            <w:t>o</w:t>
          </w:r>
          <w:r w:rsidR="001C1A2D">
            <w:rPr>
              <w:rFonts w:ascii="Century Gothic" w:hAnsi="Century Gothic"/>
            </w:rPr>
            <w:t xml:space="preserve">f the City Code </w:t>
          </w:r>
          <w:r w:rsidR="00C1787D" w:rsidRPr="00FC07B0">
            <w:rPr>
              <w:rFonts w:ascii="Century Gothic" w:hAnsi="Century Gothic"/>
            </w:rPr>
            <w:t xml:space="preserve">due to the subdivision of the property. </w:t>
          </w:r>
          <w:r w:rsidR="001C1A2D">
            <w:rPr>
              <w:rFonts w:ascii="Century Gothic" w:hAnsi="Century Gothic"/>
            </w:rPr>
            <w:t xml:space="preserve"> </w:t>
          </w:r>
          <w:r w:rsidR="00C1787D" w:rsidRPr="00FC07B0">
            <w:rPr>
              <w:rFonts w:ascii="Century Gothic" w:hAnsi="Century Gothic"/>
            </w:rPr>
            <w:t xml:space="preserve">Also, the construction of sidewalks </w:t>
          </w:r>
          <w:r w:rsidR="001C1A2D">
            <w:rPr>
              <w:rFonts w:ascii="Century Gothic" w:hAnsi="Century Gothic"/>
            </w:rPr>
            <w:t xml:space="preserve">will be </w:t>
          </w:r>
          <w:r w:rsidR="00C1787D" w:rsidRPr="00FC07B0">
            <w:rPr>
              <w:rFonts w:ascii="Century Gothic" w:hAnsi="Century Gothic"/>
            </w:rPr>
            <w:t>required along all roadway frontage</w:t>
          </w:r>
          <w:r w:rsidR="001C1A2D">
            <w:rPr>
              <w:rFonts w:ascii="Century Gothic" w:hAnsi="Century Gothic"/>
            </w:rPr>
            <w:t>s</w:t>
          </w:r>
          <w:r w:rsidR="00C1787D" w:rsidRPr="00FC07B0">
            <w:rPr>
              <w:rFonts w:ascii="Century Gothic" w:hAnsi="Century Gothic"/>
            </w:rPr>
            <w:t xml:space="preserve">. </w:t>
          </w:r>
          <w:r w:rsidR="001C1A2D">
            <w:rPr>
              <w:rFonts w:ascii="Century Gothic" w:hAnsi="Century Gothic"/>
            </w:rPr>
            <w:t xml:space="preserve"> </w:t>
          </w:r>
          <w:r w:rsidR="001B662E">
            <w:rPr>
              <w:rFonts w:ascii="Century Gothic" w:hAnsi="Century Gothic"/>
            </w:rPr>
            <w:t>Required storm water covenants and required sidewalk construction plans have been submitted and approved.</w:t>
          </w:r>
        </w:p>
        <w:p w:rsidR="00C1787D" w:rsidRDefault="00C1787D" w:rsidP="00C1787D">
          <w:pPr>
            <w:spacing w:line="260" w:lineRule="exact"/>
            <w:ind w:right="180"/>
            <w:rPr>
              <w:rFonts w:ascii="Century Gothic" w:hAnsi="Century Gothic"/>
              <w:color w:val="C00000"/>
            </w:rPr>
          </w:pPr>
        </w:p>
        <w:p w:rsidR="00B07F1E" w:rsidRPr="00B07F1E" w:rsidRDefault="00EB03DF" w:rsidP="00B07F1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</w:t>
          </w:r>
          <w:r w:rsidR="00C1787D">
            <w:rPr>
              <w:rFonts w:ascii="Century Gothic" w:hAnsi="Century Gothic"/>
            </w:rPr>
            <w:t>September 22</w:t>
          </w:r>
          <w:r>
            <w:rPr>
              <w:rFonts w:ascii="Century Gothic" w:hAnsi="Century Gothic"/>
            </w:rPr>
            <w:t>, 2016, t</w:t>
          </w:r>
          <w:r w:rsidR="00B07F1E" w:rsidRPr="00B07F1E">
            <w:rPr>
              <w:rFonts w:ascii="Century Gothic" w:hAnsi="Century Gothic"/>
            </w:rPr>
            <w:t>he Planning and Zoning Commission considered this request</w:t>
          </w:r>
          <w:r>
            <w:rPr>
              <w:rFonts w:ascii="Century Gothic" w:hAnsi="Century Gothic"/>
            </w:rPr>
            <w:t xml:space="preserve">. </w:t>
          </w:r>
          <w:r w:rsidRPr="00EA1E80">
            <w:rPr>
              <w:rFonts w:ascii="Century Gothic" w:hAnsi="Century Gothic"/>
            </w:rPr>
            <w:t>Following limited discussion</w:t>
          </w:r>
          <w:r w:rsidR="004769A4" w:rsidRPr="00EA1E80">
            <w:rPr>
              <w:rFonts w:ascii="Century Gothic" w:hAnsi="Century Gothic"/>
            </w:rPr>
            <w:t xml:space="preserve">, </w:t>
          </w:r>
          <w:r w:rsidR="00B07F1E" w:rsidRPr="00EA1E80">
            <w:rPr>
              <w:rFonts w:ascii="Century Gothic" w:hAnsi="Century Gothic"/>
            </w:rPr>
            <w:t>the Commission voted</w:t>
          </w:r>
          <w:r w:rsidR="004769A4" w:rsidRPr="00EA1E80">
            <w:rPr>
              <w:rFonts w:ascii="Century Gothic" w:hAnsi="Century Gothic"/>
            </w:rPr>
            <w:t xml:space="preserve"> 9</w:t>
          </w:r>
          <w:r w:rsidR="00B07F1E" w:rsidRPr="00EA1E80">
            <w:rPr>
              <w:rFonts w:ascii="Century Gothic" w:hAnsi="Century Gothic"/>
            </w:rPr>
            <w:t>-0 to recommend approval</w:t>
          </w:r>
          <w:r w:rsidR="004769A4" w:rsidRPr="00EA1E80">
            <w:rPr>
              <w:rFonts w:ascii="Century Gothic" w:hAnsi="Century Gothic"/>
            </w:rPr>
            <w:t xml:space="preserve"> of the plat</w:t>
          </w:r>
          <w:r w:rsidR="00B07F1E" w:rsidRPr="00EA1E80">
            <w:rPr>
              <w:rFonts w:ascii="Century Gothic" w:hAnsi="Century Gothic"/>
            </w:rPr>
            <w:t>.</w:t>
          </w:r>
          <w:r w:rsidR="00B07F1E" w:rsidRPr="00EA10E9">
            <w:rPr>
              <w:rFonts w:ascii="Century Gothic" w:hAnsi="Century Gothic"/>
              <w:color w:val="C00000"/>
            </w:rPr>
            <w:t xml:space="preserve">  </w:t>
          </w:r>
        </w:p>
        <w:p w:rsidR="00B07F1E" w:rsidRPr="00B07F1E" w:rsidRDefault="00B07F1E" w:rsidP="00B07F1E">
          <w:pPr>
            <w:rPr>
              <w:rFonts w:ascii="Century Gothic" w:hAnsi="Century Gothic"/>
            </w:rPr>
          </w:pPr>
        </w:p>
        <w:p w:rsidR="004273FF" w:rsidRPr="00B07F1E" w:rsidRDefault="00B07F1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copy of the staff report, locator maps, final plat, and meeting excerpts are attached.  </w:t>
          </w:r>
        </w:p>
      </w:sdtContent>
    </w:sdt>
    <w:p w:rsidR="004769A4" w:rsidRDefault="004769A4">
      <w:pPr>
        <w:rPr>
          <w:rFonts w:ascii="Century Gothic" w:hAnsi="Century Gothic"/>
        </w:rPr>
      </w:pPr>
      <w:bookmarkStart w:id="0" w:name="_GoBack"/>
      <w:bookmarkEnd w:id="0"/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>Short-Term Impact</w:t>
      </w:r>
      <w:r w:rsidRPr="00B07F1E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000146" w:rsidRPr="00B07F1E">
            <w:rPr>
              <w:rFonts w:ascii="Century Gothic" w:hAnsi="Century Gothic"/>
            </w:rPr>
            <w:t xml:space="preserve">None anticipated within the next two years.  Public infrastructure extension/expansion </w:t>
          </w:r>
          <w:r w:rsidR="00B07F1E" w:rsidRPr="00B07F1E">
            <w:rPr>
              <w:rFonts w:ascii="Century Gothic" w:hAnsi="Century Gothic"/>
            </w:rPr>
            <w:t>is not required.</w:t>
          </w:r>
        </w:sdtContent>
      </w:sdt>
    </w:p>
    <w:p w:rsidR="00723B4A" w:rsidRDefault="00723B4A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</w:t>
      </w:r>
      <w:r w:rsidRPr="00B07F1E">
        <w:rPr>
          <w:rFonts w:ascii="Century Gothic" w:hAnsi="Century Gothic"/>
        </w:rPr>
        <w:t xml:space="preserve">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B07F1E" w:rsidRPr="00B07F1E">
            <w:rPr>
              <w:rFonts w:ascii="Century Gothic" w:hAnsi="Century Gothic"/>
            </w:rPr>
            <w:t xml:space="preserve">None.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7742E6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0146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639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6398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7742E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A10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639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6398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A10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A10E9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36398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B07F1E" w:rsidRDefault="00EA10E9" w:rsidP="00EA10E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10/24/1964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B07F1E" w:rsidRDefault="00EA10E9" w:rsidP="00EA10E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Boone County approved “</w:t>
                </w:r>
                <w:proofErr w:type="spellStart"/>
                <w:r>
                  <w:rPr>
                    <w:rFonts w:ascii="Century Gothic" w:hAnsi="Century Gothic"/>
                  </w:rPr>
                  <w:t>Timberlane</w:t>
                </w:r>
                <w:proofErr w:type="spellEnd"/>
                <w:r>
                  <w:rPr>
                    <w:rFonts w:ascii="Century Gothic" w:hAnsi="Century Gothic"/>
                  </w:rPr>
                  <w:t xml:space="preserve"> Subdivision”</w:t>
                </w:r>
              </w:p>
            </w:tc>
          </w:sdtContent>
        </w:sdt>
      </w:tr>
      <w:tr w:rsidR="005602E2" w:rsidTr="004C26F6">
        <w:tc>
          <w:tcPr>
            <w:tcW w:w="2790" w:type="dxa"/>
            <w:shd w:val="clear" w:color="auto" w:fill="auto"/>
          </w:tcPr>
          <w:p w:rsidR="005602E2" w:rsidRDefault="005602E2" w:rsidP="00EA10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1969</w:t>
            </w:r>
          </w:p>
        </w:tc>
        <w:tc>
          <w:tcPr>
            <w:tcW w:w="7830" w:type="dxa"/>
            <w:shd w:val="clear" w:color="auto" w:fill="auto"/>
          </w:tcPr>
          <w:p w:rsidR="005602E2" w:rsidRDefault="005602E2" w:rsidP="005602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 of a larger annexation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153504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2.1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00014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000146">
            <w:rPr>
              <w:rFonts w:ascii="Century Gothic" w:hAnsi="Century Gothic"/>
            </w:rPr>
            <w:t>Approv</w:t>
          </w:r>
          <w:r w:rsidR="00836398">
            <w:rPr>
              <w:rFonts w:ascii="Century Gothic" w:hAnsi="Century Gothic"/>
            </w:rPr>
            <w:t>e</w:t>
          </w:r>
          <w:r w:rsidRPr="00000146">
            <w:rPr>
              <w:rFonts w:ascii="Century Gothic" w:hAnsi="Century Gothic"/>
            </w:rPr>
            <w:t xml:space="preserve"> the final pla</w:t>
          </w:r>
          <w:r w:rsidR="00836398">
            <w:rPr>
              <w:rFonts w:ascii="Century Gothic" w:hAnsi="Century Gothic"/>
            </w:rPr>
            <w:t>t as recommended by the Planning and Zoning Commission.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E6" w:rsidRDefault="007742E6" w:rsidP="004A4C2D">
      <w:r>
        <w:separator/>
      </w:r>
    </w:p>
  </w:endnote>
  <w:endnote w:type="continuationSeparator" w:id="0">
    <w:p w:rsidR="007742E6" w:rsidRDefault="007742E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E6" w:rsidRDefault="007742E6" w:rsidP="004A4C2D">
      <w:r>
        <w:separator/>
      </w:r>
    </w:p>
  </w:footnote>
  <w:footnote w:type="continuationSeparator" w:id="0">
    <w:p w:rsidR="007742E6" w:rsidRDefault="007742E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0146"/>
    <w:rsid w:val="000476B6"/>
    <w:rsid w:val="000564F4"/>
    <w:rsid w:val="00081116"/>
    <w:rsid w:val="00092AD1"/>
    <w:rsid w:val="000E2AA6"/>
    <w:rsid w:val="000E3DAB"/>
    <w:rsid w:val="000F5587"/>
    <w:rsid w:val="0011191B"/>
    <w:rsid w:val="00160464"/>
    <w:rsid w:val="001B662E"/>
    <w:rsid w:val="001C1A2D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3E018C"/>
    <w:rsid w:val="00405B10"/>
    <w:rsid w:val="0041404F"/>
    <w:rsid w:val="004273FF"/>
    <w:rsid w:val="004769A4"/>
    <w:rsid w:val="00480AED"/>
    <w:rsid w:val="0048496D"/>
    <w:rsid w:val="004A4C2D"/>
    <w:rsid w:val="004A51CB"/>
    <w:rsid w:val="004C26F6"/>
    <w:rsid w:val="004C2DE4"/>
    <w:rsid w:val="004F48BF"/>
    <w:rsid w:val="005602E2"/>
    <w:rsid w:val="00572FBB"/>
    <w:rsid w:val="005831E4"/>
    <w:rsid w:val="00591DC5"/>
    <w:rsid w:val="005B3871"/>
    <w:rsid w:val="005D511A"/>
    <w:rsid w:val="005F294A"/>
    <w:rsid w:val="005F6088"/>
    <w:rsid w:val="00624EB6"/>
    <w:rsid w:val="00625FCB"/>
    <w:rsid w:val="00646D99"/>
    <w:rsid w:val="006D6E9E"/>
    <w:rsid w:val="006F185A"/>
    <w:rsid w:val="00723B4A"/>
    <w:rsid w:val="007742E6"/>
    <w:rsid w:val="00791D82"/>
    <w:rsid w:val="008078EB"/>
    <w:rsid w:val="00814B0B"/>
    <w:rsid w:val="00836398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07B8"/>
    <w:rsid w:val="00A37B59"/>
    <w:rsid w:val="00A428F8"/>
    <w:rsid w:val="00A4784E"/>
    <w:rsid w:val="00A67E22"/>
    <w:rsid w:val="00A85777"/>
    <w:rsid w:val="00B07F1E"/>
    <w:rsid w:val="00B158FC"/>
    <w:rsid w:val="00B62049"/>
    <w:rsid w:val="00B972D7"/>
    <w:rsid w:val="00BA374B"/>
    <w:rsid w:val="00BD7739"/>
    <w:rsid w:val="00BE10D5"/>
    <w:rsid w:val="00BE5FE4"/>
    <w:rsid w:val="00C1787D"/>
    <w:rsid w:val="00C26D7E"/>
    <w:rsid w:val="00C34BE7"/>
    <w:rsid w:val="00C379A1"/>
    <w:rsid w:val="00C93741"/>
    <w:rsid w:val="00CC258D"/>
    <w:rsid w:val="00CE4274"/>
    <w:rsid w:val="00D046B2"/>
    <w:rsid w:val="00D04A0D"/>
    <w:rsid w:val="00D102C6"/>
    <w:rsid w:val="00D44CD9"/>
    <w:rsid w:val="00D85A25"/>
    <w:rsid w:val="00DA1347"/>
    <w:rsid w:val="00DC18D1"/>
    <w:rsid w:val="00DE2810"/>
    <w:rsid w:val="00DF4837"/>
    <w:rsid w:val="00E21F4E"/>
    <w:rsid w:val="00E518F5"/>
    <w:rsid w:val="00E52526"/>
    <w:rsid w:val="00E74D19"/>
    <w:rsid w:val="00EA10E9"/>
    <w:rsid w:val="00EA1E80"/>
    <w:rsid w:val="00EB03DF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C07B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294998-96AA-4B87-9EBB-1B4C32B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D78B6"/>
    <w:rsid w:val="008F5C85"/>
    <w:rsid w:val="009B3AA1"/>
    <w:rsid w:val="00B070C6"/>
    <w:rsid w:val="00B54DAB"/>
    <w:rsid w:val="00BB21DC"/>
    <w:rsid w:val="00C22202"/>
    <w:rsid w:val="00D626D5"/>
    <w:rsid w:val="00E1451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7F3-299B-4663-A290-06EF3F29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7</cp:revision>
  <cp:lastPrinted>2013-11-01T14:38:00Z</cp:lastPrinted>
  <dcterms:created xsi:type="dcterms:W3CDTF">2016-09-13T23:20:00Z</dcterms:created>
  <dcterms:modified xsi:type="dcterms:W3CDTF">2016-12-22T19:42:00Z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