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21" w:rsidRPr="00951A9B" w:rsidRDefault="00544D21" w:rsidP="00544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A9B">
        <w:rPr>
          <w:rFonts w:ascii="Times New Roman" w:hAnsi="Times New Roman" w:cs="Times New Roman"/>
          <w:b/>
          <w:sz w:val="24"/>
          <w:szCs w:val="24"/>
        </w:rPr>
        <w:t>To: Community Development Commission</w:t>
      </w:r>
    </w:p>
    <w:p w:rsidR="00544D21" w:rsidRPr="00951A9B" w:rsidRDefault="00544D21" w:rsidP="00544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A9B">
        <w:rPr>
          <w:rFonts w:ascii="Times New Roman" w:hAnsi="Times New Roman" w:cs="Times New Roman"/>
          <w:b/>
          <w:sz w:val="24"/>
          <w:szCs w:val="24"/>
        </w:rPr>
        <w:t>From: Randy Cole</w:t>
      </w:r>
    </w:p>
    <w:p w:rsidR="00544D21" w:rsidRPr="00951A9B" w:rsidRDefault="00E75889" w:rsidP="00544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6/</w:t>
      </w:r>
      <w:r w:rsidR="00A75DC5">
        <w:rPr>
          <w:rFonts w:ascii="Times New Roman" w:hAnsi="Times New Roman" w:cs="Times New Roman"/>
          <w:b/>
          <w:sz w:val="24"/>
          <w:szCs w:val="24"/>
        </w:rPr>
        <w:t>16</w:t>
      </w:r>
      <w:r w:rsidR="00544D21" w:rsidRPr="00951A9B">
        <w:rPr>
          <w:rFonts w:ascii="Times New Roman" w:hAnsi="Times New Roman" w:cs="Times New Roman"/>
          <w:b/>
          <w:sz w:val="24"/>
          <w:szCs w:val="24"/>
        </w:rPr>
        <w:t>/201</w:t>
      </w:r>
      <w:r w:rsidR="00A75DC5">
        <w:rPr>
          <w:rFonts w:ascii="Times New Roman" w:hAnsi="Times New Roman" w:cs="Times New Roman"/>
          <w:b/>
          <w:sz w:val="24"/>
          <w:szCs w:val="24"/>
        </w:rPr>
        <w:t>7</w:t>
      </w:r>
    </w:p>
    <w:p w:rsidR="00544D21" w:rsidRPr="00951A9B" w:rsidRDefault="00544D21" w:rsidP="00544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A9B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A75DC5">
        <w:rPr>
          <w:rFonts w:ascii="Times New Roman" w:hAnsi="Times New Roman" w:cs="Times New Roman"/>
          <w:b/>
          <w:sz w:val="24"/>
          <w:szCs w:val="24"/>
        </w:rPr>
        <w:t>6/21</w:t>
      </w:r>
      <w:r w:rsidRPr="00951A9B">
        <w:rPr>
          <w:rFonts w:ascii="Times New Roman" w:hAnsi="Times New Roman" w:cs="Times New Roman"/>
          <w:b/>
          <w:sz w:val="24"/>
          <w:szCs w:val="24"/>
        </w:rPr>
        <w:t>/201</w:t>
      </w:r>
      <w:r w:rsidR="00A75DC5">
        <w:rPr>
          <w:rFonts w:ascii="Times New Roman" w:hAnsi="Times New Roman" w:cs="Times New Roman"/>
          <w:b/>
          <w:sz w:val="24"/>
          <w:szCs w:val="24"/>
        </w:rPr>
        <w:t>7</w:t>
      </w:r>
      <w:r w:rsidRPr="00951A9B">
        <w:rPr>
          <w:rFonts w:ascii="Times New Roman" w:hAnsi="Times New Roman" w:cs="Times New Roman"/>
          <w:b/>
          <w:sz w:val="24"/>
          <w:szCs w:val="24"/>
        </w:rPr>
        <w:t xml:space="preserve"> CDC Agenda Item Summary Memo</w:t>
      </w:r>
    </w:p>
    <w:p w:rsidR="00544D21" w:rsidRPr="005E3861" w:rsidRDefault="00544D21" w:rsidP="00544D2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44D21" w:rsidRPr="007E793E" w:rsidRDefault="00544D21" w:rsidP="00544D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793E">
        <w:rPr>
          <w:rFonts w:ascii="Times New Roman" w:hAnsi="Times New Roman" w:cs="Times New Roman"/>
          <w:sz w:val="24"/>
          <w:szCs w:val="24"/>
          <w:u w:val="single"/>
        </w:rPr>
        <w:t>Overview</w:t>
      </w:r>
    </w:p>
    <w:p w:rsidR="00544D21" w:rsidRPr="008A184E" w:rsidRDefault="00544D21" w:rsidP="00544D21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544D21" w:rsidRPr="00951A9B" w:rsidRDefault="00544D21" w:rsidP="002E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A9B">
        <w:rPr>
          <w:rFonts w:ascii="Times New Roman" w:hAnsi="Times New Roman" w:cs="Times New Roman"/>
          <w:sz w:val="24"/>
          <w:szCs w:val="24"/>
        </w:rPr>
        <w:t>The purpose of this memo is</w:t>
      </w:r>
      <w:r w:rsidR="006B4482" w:rsidRPr="00951A9B">
        <w:rPr>
          <w:rFonts w:ascii="Times New Roman" w:hAnsi="Times New Roman" w:cs="Times New Roman"/>
          <w:sz w:val="24"/>
          <w:szCs w:val="24"/>
        </w:rPr>
        <w:t xml:space="preserve"> t</w:t>
      </w:r>
      <w:r w:rsidR="00E1705A">
        <w:rPr>
          <w:rFonts w:ascii="Times New Roman" w:hAnsi="Times New Roman" w:cs="Times New Roman"/>
          <w:sz w:val="24"/>
          <w:szCs w:val="24"/>
        </w:rPr>
        <w:t xml:space="preserve">o provide a brief summary of </w:t>
      </w:r>
      <w:r w:rsidR="00A46F10">
        <w:rPr>
          <w:rFonts w:ascii="Times New Roman" w:hAnsi="Times New Roman" w:cs="Times New Roman"/>
          <w:sz w:val="24"/>
          <w:szCs w:val="24"/>
        </w:rPr>
        <w:t xml:space="preserve">the </w:t>
      </w:r>
      <w:r w:rsidR="00A75DC5">
        <w:rPr>
          <w:rFonts w:ascii="Times New Roman" w:hAnsi="Times New Roman" w:cs="Times New Roman"/>
          <w:sz w:val="24"/>
          <w:szCs w:val="24"/>
        </w:rPr>
        <w:t>6/21</w:t>
      </w:r>
      <w:r w:rsidRPr="00951A9B">
        <w:rPr>
          <w:rFonts w:ascii="Times New Roman" w:hAnsi="Times New Roman" w:cs="Times New Roman"/>
          <w:sz w:val="24"/>
          <w:szCs w:val="24"/>
        </w:rPr>
        <w:t>/201</w:t>
      </w:r>
      <w:r w:rsidR="00A75DC5">
        <w:rPr>
          <w:rFonts w:ascii="Times New Roman" w:hAnsi="Times New Roman" w:cs="Times New Roman"/>
          <w:sz w:val="24"/>
          <w:szCs w:val="24"/>
        </w:rPr>
        <w:t>7</w:t>
      </w:r>
      <w:r w:rsidRPr="00951A9B">
        <w:rPr>
          <w:rFonts w:ascii="Times New Roman" w:hAnsi="Times New Roman" w:cs="Times New Roman"/>
          <w:sz w:val="24"/>
          <w:szCs w:val="24"/>
        </w:rPr>
        <w:t xml:space="preserve"> CDC meeting agenda items.  This memo provides a brief staff update on each of the agenda items requiring staff input.</w:t>
      </w:r>
    </w:p>
    <w:p w:rsidR="005F6553" w:rsidRPr="008A184E" w:rsidRDefault="005F6553" w:rsidP="002E2ED1">
      <w:pPr>
        <w:spacing w:after="0" w:line="240" w:lineRule="auto"/>
        <w:ind w:right="15"/>
        <w:rPr>
          <w:rFonts w:ascii="Times New Roman" w:hAnsi="Times New Roman" w:cs="Times New Roman"/>
          <w:sz w:val="10"/>
          <w:szCs w:val="24"/>
        </w:rPr>
      </w:pPr>
    </w:p>
    <w:p w:rsidR="00DA4A8D" w:rsidRPr="005E3861" w:rsidRDefault="00DA4A8D" w:rsidP="00A84BD6">
      <w:pPr>
        <w:spacing w:after="0" w:line="240" w:lineRule="auto"/>
        <w:ind w:right="15"/>
        <w:rPr>
          <w:rFonts w:ascii="Times New Roman" w:hAnsi="Times New Roman" w:cs="Times New Roman"/>
          <w:sz w:val="20"/>
          <w:szCs w:val="24"/>
          <w:u w:val="single"/>
        </w:rPr>
      </w:pPr>
    </w:p>
    <w:p w:rsidR="006454FA" w:rsidRDefault="00C850D8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Staff Report</w:t>
      </w:r>
    </w:p>
    <w:p w:rsidR="00C850D8" w:rsidRDefault="00C850D8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  <w:u w:val="single"/>
        </w:rPr>
      </w:pPr>
    </w:p>
    <w:p w:rsidR="00C850D8" w:rsidRDefault="00C850D8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s</w:t>
      </w:r>
      <w:r w:rsidR="00A46F10">
        <w:rPr>
          <w:rFonts w:ascii="Times New Roman" w:hAnsi="Times New Roman" w:cs="Times New Roman"/>
          <w:sz w:val="24"/>
          <w:szCs w:val="24"/>
        </w:rPr>
        <w:t>hould utilize the following 4</w:t>
      </w:r>
      <w:r>
        <w:rPr>
          <w:rFonts w:ascii="Times New Roman" w:hAnsi="Times New Roman" w:cs="Times New Roman"/>
          <w:sz w:val="24"/>
          <w:szCs w:val="24"/>
        </w:rPr>
        <w:t xml:space="preserve"> tools in determining annual funding allocations:</w:t>
      </w:r>
    </w:p>
    <w:p w:rsidR="00C850D8" w:rsidRDefault="00A75DC5" w:rsidP="00C850D8">
      <w:pPr>
        <w:pStyle w:val="ListParagraph"/>
        <w:numPr>
          <w:ilvl w:val="0"/>
          <w:numId w:val="14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Percentages established through Council Policy Resolution.</w:t>
      </w:r>
    </w:p>
    <w:p w:rsidR="00C850D8" w:rsidRDefault="00C850D8" w:rsidP="00C850D8">
      <w:pPr>
        <w:pStyle w:val="ListParagraph"/>
        <w:numPr>
          <w:ilvl w:val="0"/>
          <w:numId w:val="14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2015-2019 Consolidated Plan (Deliverables, or annual project goals).</w:t>
      </w:r>
    </w:p>
    <w:p w:rsidR="00C850D8" w:rsidRDefault="00C850D8" w:rsidP="00C850D8">
      <w:pPr>
        <w:pStyle w:val="ListParagraph"/>
        <w:numPr>
          <w:ilvl w:val="0"/>
          <w:numId w:val="14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recent Community Needs Survey Data.</w:t>
      </w:r>
    </w:p>
    <w:p w:rsidR="00C850D8" w:rsidRPr="00C850D8" w:rsidRDefault="00C850D8" w:rsidP="00C850D8">
      <w:pPr>
        <w:pStyle w:val="ListParagraph"/>
        <w:numPr>
          <w:ilvl w:val="0"/>
          <w:numId w:val="14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Ratings of Proposals</w:t>
      </w:r>
      <w:r w:rsidR="00BD621B">
        <w:rPr>
          <w:rFonts w:ascii="Times New Roman" w:hAnsi="Times New Roman" w:cs="Times New Roman"/>
          <w:sz w:val="24"/>
          <w:szCs w:val="24"/>
        </w:rPr>
        <w:t>.</w:t>
      </w:r>
    </w:p>
    <w:p w:rsidR="008A5566" w:rsidRPr="00DA4A8D" w:rsidRDefault="008A5566" w:rsidP="00A84BD6">
      <w:pPr>
        <w:spacing w:after="0" w:line="240" w:lineRule="auto"/>
        <w:ind w:right="15"/>
        <w:rPr>
          <w:rFonts w:ascii="Times New Roman" w:hAnsi="Times New Roman" w:cs="Times New Roman"/>
          <w:sz w:val="10"/>
          <w:szCs w:val="24"/>
          <w:u w:val="single"/>
        </w:rPr>
      </w:pPr>
    </w:p>
    <w:p w:rsidR="00C850D8" w:rsidRPr="00C850D8" w:rsidRDefault="00C850D8" w:rsidP="00C850D8">
      <w:pPr>
        <w:spacing w:after="0" w:line="240" w:lineRule="auto"/>
        <w:ind w:right="15" w:firstLine="360"/>
        <w:rPr>
          <w:rFonts w:ascii="Times New Roman" w:hAnsi="Times New Roman" w:cs="Times New Roman"/>
          <w:i/>
          <w:sz w:val="24"/>
          <w:szCs w:val="24"/>
        </w:rPr>
      </w:pPr>
      <w:r w:rsidRPr="00C850D8">
        <w:rPr>
          <w:rFonts w:ascii="Times New Roman" w:hAnsi="Times New Roman" w:cs="Times New Roman"/>
          <w:i/>
          <w:sz w:val="24"/>
          <w:szCs w:val="24"/>
        </w:rPr>
        <w:t>Funding Percentages</w:t>
      </w:r>
    </w:p>
    <w:p w:rsidR="00C850D8" w:rsidRDefault="00C850D8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50D8" w:rsidRDefault="00C850D8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Policy funding resolution utilizes the following percentage windows as a guide for determining annual allocations.  2015-2019 Consolidated Plan goals and deliverables were developed by utilizing the mid-point of the 5 project categories:  Affordable Housing, Neighborhood Needs, Economic Development, Community Facilities, and Fair Housing.  The percentages are as follows:</w:t>
      </w:r>
    </w:p>
    <w:p w:rsidR="00C850D8" w:rsidRDefault="00C850D8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D8" w:rsidRDefault="00C850D8" w:rsidP="00C850D8">
      <w:pPr>
        <w:spacing w:after="0" w:line="240" w:lineRule="auto"/>
        <w:ind w:right="1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CDBG</w:t>
      </w:r>
    </w:p>
    <w:p w:rsidR="00C850D8" w:rsidRDefault="00C850D8" w:rsidP="00C850D8">
      <w:pPr>
        <w:spacing w:after="0" w:line="240" w:lineRule="auto"/>
        <w:ind w:right="1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25-40% Affordable Housing</w:t>
      </w:r>
    </w:p>
    <w:p w:rsidR="00C850D8" w:rsidRDefault="00C850D8" w:rsidP="00C850D8">
      <w:pPr>
        <w:spacing w:after="0" w:line="240" w:lineRule="auto"/>
        <w:ind w:right="1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20-50% Neighborhood Needs</w:t>
      </w:r>
    </w:p>
    <w:p w:rsidR="00C850D8" w:rsidRDefault="00C850D8" w:rsidP="00C850D8">
      <w:pPr>
        <w:spacing w:after="0" w:line="240" w:lineRule="auto"/>
        <w:ind w:right="1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10-50% Economic Development</w:t>
      </w:r>
    </w:p>
    <w:p w:rsidR="00C850D8" w:rsidRDefault="00C850D8" w:rsidP="00C850D8">
      <w:pPr>
        <w:spacing w:after="0" w:line="240" w:lineRule="auto"/>
        <w:ind w:right="1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0-30%   Community Facilities</w:t>
      </w:r>
    </w:p>
    <w:p w:rsidR="00C850D8" w:rsidRDefault="00C850D8" w:rsidP="00C850D8">
      <w:pPr>
        <w:spacing w:after="0" w:line="240" w:lineRule="auto"/>
        <w:ind w:right="1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0-5%     Fair Housing</w:t>
      </w:r>
    </w:p>
    <w:p w:rsidR="00C850D8" w:rsidRDefault="00C850D8" w:rsidP="00C850D8">
      <w:pPr>
        <w:spacing w:after="0" w:line="240" w:lineRule="auto"/>
        <w:ind w:right="1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0-18%   Administration</w:t>
      </w:r>
    </w:p>
    <w:p w:rsidR="00C850D8" w:rsidRDefault="00C850D8" w:rsidP="00C850D8">
      <w:pPr>
        <w:spacing w:after="0" w:line="240" w:lineRule="auto"/>
        <w:ind w:right="15" w:firstLine="720"/>
        <w:rPr>
          <w:rFonts w:ascii="Times New Roman" w:hAnsi="Times New Roman" w:cs="Times New Roman"/>
          <w:sz w:val="24"/>
          <w:szCs w:val="24"/>
        </w:rPr>
      </w:pPr>
    </w:p>
    <w:p w:rsidR="00C850D8" w:rsidRDefault="00C850D8" w:rsidP="00C850D8">
      <w:pPr>
        <w:spacing w:after="0" w:line="240" w:lineRule="auto"/>
        <w:ind w:right="1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</w:t>
      </w:r>
    </w:p>
    <w:p w:rsidR="00C850D8" w:rsidRDefault="00C850D8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15%      Community Housing Development Organizations (HUD Mandate)</w:t>
      </w:r>
    </w:p>
    <w:p w:rsidR="00C850D8" w:rsidRDefault="00C850D8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75% </w:t>
      </w:r>
      <w:r>
        <w:rPr>
          <w:rFonts w:ascii="Times New Roman" w:hAnsi="Times New Roman" w:cs="Times New Roman"/>
          <w:sz w:val="24"/>
          <w:szCs w:val="24"/>
        </w:rPr>
        <w:tab/>
        <w:t xml:space="preserve"> Rehabilitation, new construction (rental or owner occupied)</w:t>
      </w:r>
      <w:r w:rsidR="007E793E">
        <w:rPr>
          <w:rFonts w:ascii="Times New Roman" w:hAnsi="Times New Roman" w:cs="Times New Roman"/>
          <w:sz w:val="24"/>
          <w:szCs w:val="24"/>
        </w:rPr>
        <w:t>, homebuyer assistance</w:t>
      </w:r>
    </w:p>
    <w:p w:rsidR="00BD621B" w:rsidRDefault="00BD621B" w:rsidP="00BD621B">
      <w:pPr>
        <w:spacing w:after="0" w:line="240" w:lineRule="auto"/>
        <w:ind w:right="1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ab/>
        <w:t xml:space="preserve"> Administration</w:t>
      </w:r>
    </w:p>
    <w:p w:rsidR="007E793E" w:rsidRDefault="007E793E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C850D8" w:rsidRPr="007E793E" w:rsidRDefault="007E793E" w:rsidP="007E793E">
      <w:pPr>
        <w:spacing w:after="0" w:line="240" w:lineRule="auto"/>
        <w:ind w:right="15" w:firstLine="360"/>
        <w:rPr>
          <w:rFonts w:ascii="Times New Roman" w:hAnsi="Times New Roman" w:cs="Times New Roman"/>
          <w:i/>
          <w:sz w:val="24"/>
          <w:szCs w:val="24"/>
        </w:rPr>
      </w:pPr>
      <w:r w:rsidRPr="007E793E">
        <w:rPr>
          <w:rFonts w:ascii="Times New Roman" w:hAnsi="Times New Roman" w:cs="Times New Roman"/>
          <w:i/>
          <w:sz w:val="24"/>
          <w:szCs w:val="24"/>
        </w:rPr>
        <w:t>2015-2019 Consolidated Plan (Deliverables, or annual project goals)</w:t>
      </w:r>
    </w:p>
    <w:p w:rsidR="007E793E" w:rsidRDefault="007E793E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8A5566" w:rsidRDefault="008A5566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FY201</w:t>
      </w:r>
      <w:r w:rsidR="00A75D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is the </w:t>
      </w:r>
      <w:r w:rsidR="00A75DC5">
        <w:rPr>
          <w:rFonts w:ascii="Times New Roman" w:hAnsi="Times New Roman" w:cs="Times New Roman"/>
          <w:sz w:val="24"/>
          <w:szCs w:val="24"/>
        </w:rPr>
        <w:t>fourth</w:t>
      </w:r>
      <w:r w:rsidR="00386FAA">
        <w:rPr>
          <w:rFonts w:ascii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 xml:space="preserve"> of the City’s 2015-2019 consolidated plan cycle.  </w:t>
      </w:r>
      <w:r w:rsidR="00386FAA">
        <w:rPr>
          <w:rFonts w:ascii="Times New Roman" w:hAnsi="Times New Roman" w:cs="Times New Roman"/>
          <w:sz w:val="24"/>
          <w:szCs w:val="24"/>
        </w:rPr>
        <w:t>Commissioners are encouraged to review annual project goals according to the Consolidated Plan as part of</w:t>
      </w:r>
      <w:r>
        <w:rPr>
          <w:rFonts w:ascii="Times New Roman" w:hAnsi="Times New Roman" w:cs="Times New Roman"/>
          <w:sz w:val="24"/>
          <w:szCs w:val="24"/>
        </w:rPr>
        <w:t xml:space="preserve"> making funding determinations for project</w:t>
      </w:r>
      <w:r w:rsidR="00BD621B">
        <w:rPr>
          <w:rFonts w:ascii="Times New Roman" w:hAnsi="Times New Roman" w:cs="Times New Roman"/>
          <w:sz w:val="24"/>
          <w:szCs w:val="24"/>
        </w:rPr>
        <w:t>s to be funded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E793E">
        <w:rPr>
          <w:rFonts w:ascii="Times New Roman" w:hAnsi="Times New Roman" w:cs="Times New Roman"/>
          <w:sz w:val="24"/>
          <w:szCs w:val="24"/>
        </w:rPr>
        <w:t xml:space="preserve">The Consolidated Plan includes a list of “deliverables” or projects to be completed within the 5 year period.  The following list breaks these down into 1-year goals by dividing the deliverables by 5.  </w:t>
      </w:r>
      <w:r w:rsidR="00386FAA">
        <w:rPr>
          <w:rFonts w:ascii="Times New Roman" w:hAnsi="Times New Roman" w:cs="Times New Roman"/>
          <w:sz w:val="24"/>
          <w:szCs w:val="24"/>
        </w:rPr>
        <w:t>Annual Consolidated Plan deliverables are as stated below:</w:t>
      </w:r>
    </w:p>
    <w:p w:rsidR="00386FAA" w:rsidRDefault="00386FAA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386FAA" w:rsidRDefault="00386FAA" w:rsidP="00386FAA">
      <w:pPr>
        <w:pStyle w:val="ListParagraph"/>
        <w:numPr>
          <w:ilvl w:val="0"/>
          <w:numId w:val="13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Vocational training for 14 persons.</w:t>
      </w:r>
    </w:p>
    <w:p w:rsidR="00386FAA" w:rsidRDefault="00386FAA" w:rsidP="00386FAA">
      <w:pPr>
        <w:pStyle w:val="ListParagraph"/>
        <w:numPr>
          <w:ilvl w:val="0"/>
          <w:numId w:val="13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Microloans for 3 businesses.</w:t>
      </w:r>
    </w:p>
    <w:p w:rsidR="00386FAA" w:rsidRDefault="00386FAA" w:rsidP="00386FAA">
      <w:pPr>
        <w:pStyle w:val="ListParagraph"/>
        <w:numPr>
          <w:ilvl w:val="0"/>
          <w:numId w:val="13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rehabilitation for 10 homes.</w:t>
      </w:r>
    </w:p>
    <w:p w:rsidR="00386FAA" w:rsidRDefault="00386FAA" w:rsidP="00386FAA">
      <w:pPr>
        <w:pStyle w:val="ListParagraph"/>
        <w:numPr>
          <w:ilvl w:val="0"/>
          <w:numId w:val="13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home repairs including accessibility improvements for 40 homes.</w:t>
      </w:r>
    </w:p>
    <w:p w:rsidR="00386FAA" w:rsidRDefault="00386FAA" w:rsidP="00386FAA">
      <w:pPr>
        <w:pStyle w:val="ListParagraph"/>
        <w:numPr>
          <w:ilvl w:val="0"/>
          <w:numId w:val="13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enforcement of 75 homes.</w:t>
      </w:r>
    </w:p>
    <w:p w:rsidR="00386FAA" w:rsidRDefault="00386FAA" w:rsidP="00386FAA">
      <w:pPr>
        <w:pStyle w:val="ListParagraph"/>
        <w:numPr>
          <w:ilvl w:val="0"/>
          <w:numId w:val="13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Homebuyer assistance for 13 homes.</w:t>
      </w:r>
    </w:p>
    <w:p w:rsidR="00386FAA" w:rsidRDefault="00386FAA" w:rsidP="00386FAA">
      <w:pPr>
        <w:pStyle w:val="ListParagraph"/>
        <w:numPr>
          <w:ilvl w:val="0"/>
          <w:numId w:val="13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Homebuyer education for 90 persons.</w:t>
      </w:r>
    </w:p>
    <w:p w:rsidR="00386FAA" w:rsidRDefault="00386FAA" w:rsidP="00386FAA">
      <w:pPr>
        <w:pStyle w:val="ListParagraph"/>
        <w:numPr>
          <w:ilvl w:val="0"/>
          <w:numId w:val="13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of 3 owner occupied affordable homes.</w:t>
      </w:r>
    </w:p>
    <w:p w:rsidR="00386FAA" w:rsidRDefault="00386FAA" w:rsidP="00386FAA">
      <w:pPr>
        <w:pStyle w:val="ListParagraph"/>
        <w:numPr>
          <w:ilvl w:val="0"/>
          <w:numId w:val="13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Development financing for MHDC project (2 over 5 year period).</w:t>
      </w:r>
    </w:p>
    <w:p w:rsidR="00386FAA" w:rsidRDefault="00386FAA" w:rsidP="00386FAA">
      <w:pPr>
        <w:pStyle w:val="ListParagraph"/>
        <w:numPr>
          <w:ilvl w:val="0"/>
          <w:numId w:val="13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projects (5 over 5 year period).</w:t>
      </w:r>
    </w:p>
    <w:p w:rsidR="00386FAA" w:rsidRDefault="00386FAA" w:rsidP="00386FAA">
      <w:pPr>
        <w:pStyle w:val="ListParagraph"/>
        <w:numPr>
          <w:ilvl w:val="0"/>
          <w:numId w:val="13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of bus shelters (5 over 5 year period</w:t>
      </w:r>
      <w:r w:rsidR="00A46F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FAA" w:rsidRDefault="00386FAA" w:rsidP="00386FAA">
      <w:pPr>
        <w:pStyle w:val="ListParagraph"/>
        <w:numPr>
          <w:ilvl w:val="0"/>
          <w:numId w:val="13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Demolition of 3 dilapidated structures.</w:t>
      </w:r>
    </w:p>
    <w:p w:rsidR="00386FAA" w:rsidRDefault="00386FAA" w:rsidP="00386FAA">
      <w:pPr>
        <w:pStyle w:val="ListParagraph"/>
        <w:numPr>
          <w:ilvl w:val="0"/>
          <w:numId w:val="13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housing education to 30 low-income households.</w:t>
      </w:r>
    </w:p>
    <w:p w:rsidR="00386FAA" w:rsidRDefault="00386FAA" w:rsidP="00386FAA">
      <w:pPr>
        <w:pStyle w:val="ListParagraph"/>
        <w:numPr>
          <w:ilvl w:val="0"/>
          <w:numId w:val="13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housing education to 15 housing professionals.</w:t>
      </w:r>
    </w:p>
    <w:p w:rsidR="00386FAA" w:rsidRDefault="00386FAA" w:rsidP="00386FAA">
      <w:pPr>
        <w:pStyle w:val="ListParagraph"/>
        <w:numPr>
          <w:ilvl w:val="0"/>
          <w:numId w:val="13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housing counseling to 10 low income households.</w:t>
      </w:r>
    </w:p>
    <w:p w:rsidR="00386FAA" w:rsidRDefault="00386FAA" w:rsidP="00386FAA">
      <w:pPr>
        <w:pStyle w:val="ListParagraph"/>
        <w:numPr>
          <w:ilvl w:val="0"/>
          <w:numId w:val="13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Acquisition, expansion, or renovation of community facilities (5 over 5 year period).</w:t>
      </w:r>
    </w:p>
    <w:p w:rsidR="008614F4" w:rsidRPr="00386FAA" w:rsidRDefault="008614F4" w:rsidP="008614F4">
      <w:pPr>
        <w:pStyle w:val="ListParagraph"/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8A5566" w:rsidRDefault="008A5566" w:rsidP="00A84BD6">
      <w:pPr>
        <w:spacing w:after="0" w:line="240" w:lineRule="auto"/>
        <w:ind w:right="15"/>
        <w:rPr>
          <w:rFonts w:ascii="Times New Roman" w:hAnsi="Times New Roman" w:cs="Times New Roman"/>
          <w:sz w:val="20"/>
          <w:szCs w:val="24"/>
        </w:rPr>
      </w:pPr>
    </w:p>
    <w:p w:rsidR="008614F4" w:rsidRDefault="00973016" w:rsidP="007E793E">
      <w:pPr>
        <w:spacing w:after="0" w:line="240" w:lineRule="auto"/>
        <w:ind w:right="15" w:firstLine="360"/>
        <w:rPr>
          <w:rStyle w:val="Strong"/>
          <w:rFonts w:ascii="Times New Roman" w:hAnsi="Times New Roman" w:cs="Times New Roman"/>
          <w:b w:val="0"/>
          <w:i/>
          <w:sz w:val="24"/>
        </w:rPr>
      </w:pPr>
      <w:r>
        <w:rPr>
          <w:noProof/>
        </w:rPr>
        <w:drawing>
          <wp:inline distT="0" distB="0" distL="0" distR="0" wp14:anchorId="14BEC693" wp14:editId="1B89BF12">
            <wp:extent cx="6372225" cy="42195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14F4" w:rsidRDefault="008614F4" w:rsidP="007E793E">
      <w:pPr>
        <w:spacing w:after="0" w:line="240" w:lineRule="auto"/>
        <w:ind w:right="15" w:firstLine="360"/>
        <w:rPr>
          <w:rStyle w:val="Strong"/>
          <w:rFonts w:ascii="Times New Roman" w:hAnsi="Times New Roman" w:cs="Times New Roman"/>
          <w:b w:val="0"/>
          <w:i/>
          <w:sz w:val="24"/>
        </w:rPr>
      </w:pPr>
    </w:p>
    <w:p w:rsidR="008614F4" w:rsidRDefault="008614F4" w:rsidP="007E793E">
      <w:pPr>
        <w:spacing w:after="0" w:line="240" w:lineRule="auto"/>
        <w:ind w:right="15" w:firstLine="360"/>
        <w:rPr>
          <w:rStyle w:val="Strong"/>
          <w:rFonts w:ascii="Times New Roman" w:hAnsi="Times New Roman" w:cs="Times New Roman"/>
          <w:b w:val="0"/>
          <w:i/>
          <w:sz w:val="24"/>
        </w:rPr>
      </w:pPr>
    </w:p>
    <w:p w:rsidR="007E793E" w:rsidRDefault="007E793E" w:rsidP="007E793E">
      <w:pPr>
        <w:spacing w:after="0" w:line="240" w:lineRule="auto"/>
        <w:ind w:right="15" w:firstLine="360"/>
        <w:rPr>
          <w:rStyle w:val="Strong"/>
          <w:rFonts w:ascii="Times New Roman" w:hAnsi="Times New Roman" w:cs="Times New Roman"/>
          <w:b w:val="0"/>
          <w:i/>
          <w:sz w:val="24"/>
        </w:rPr>
      </w:pPr>
      <w:r w:rsidRPr="007E793E">
        <w:rPr>
          <w:rStyle w:val="Strong"/>
          <w:rFonts w:ascii="Times New Roman" w:hAnsi="Times New Roman" w:cs="Times New Roman"/>
          <w:b w:val="0"/>
          <w:i/>
          <w:sz w:val="24"/>
        </w:rPr>
        <w:t>Most recent Community Needs Survey Data.</w:t>
      </w:r>
    </w:p>
    <w:p w:rsidR="007E793E" w:rsidRDefault="007E793E" w:rsidP="007E793E">
      <w:pPr>
        <w:spacing w:after="0" w:line="240" w:lineRule="auto"/>
        <w:ind w:right="15"/>
        <w:rPr>
          <w:rStyle w:val="Strong"/>
          <w:rFonts w:ascii="Times New Roman" w:hAnsi="Times New Roman" w:cs="Times New Roman"/>
          <w:b w:val="0"/>
          <w:sz w:val="24"/>
        </w:rPr>
      </w:pPr>
    </w:p>
    <w:p w:rsidR="006247C3" w:rsidRDefault="007E793E" w:rsidP="007E793E">
      <w:pPr>
        <w:spacing w:after="0" w:line="240" w:lineRule="auto"/>
        <w:ind w:right="15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>City staff completed the annual Community Development Needs Survey in the spring o</w:t>
      </w:r>
      <w:r w:rsidR="00765CED">
        <w:rPr>
          <w:rStyle w:val="Strong"/>
          <w:rFonts w:ascii="Times New Roman" w:hAnsi="Times New Roman" w:cs="Times New Roman"/>
          <w:b w:val="0"/>
          <w:sz w:val="24"/>
        </w:rPr>
        <w:t>f 2016.  The City received 362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responses from the public.  This is the most su</w:t>
      </w:r>
      <w:r w:rsidR="006247C3">
        <w:rPr>
          <w:rStyle w:val="Strong"/>
          <w:rFonts w:ascii="Times New Roman" w:hAnsi="Times New Roman" w:cs="Times New Roman"/>
          <w:b w:val="0"/>
          <w:sz w:val="24"/>
        </w:rPr>
        <w:t xml:space="preserve">rveys received </w:t>
      </w:r>
      <w:r w:rsidR="00765CED">
        <w:rPr>
          <w:rStyle w:val="Strong"/>
          <w:rFonts w:ascii="Times New Roman" w:hAnsi="Times New Roman" w:cs="Times New Roman"/>
          <w:b w:val="0"/>
          <w:sz w:val="24"/>
        </w:rPr>
        <w:t>on record</w:t>
      </w:r>
      <w:r>
        <w:rPr>
          <w:rStyle w:val="Strong"/>
          <w:rFonts w:ascii="Times New Roman" w:hAnsi="Times New Roman" w:cs="Times New Roman"/>
          <w:b w:val="0"/>
          <w:sz w:val="24"/>
        </w:rPr>
        <w:t>.  Survey results are as seen below:</w:t>
      </w:r>
    </w:p>
    <w:p w:rsidR="006247C3" w:rsidRDefault="006247C3" w:rsidP="007E793E">
      <w:pPr>
        <w:spacing w:after="0" w:line="240" w:lineRule="auto"/>
        <w:ind w:right="15"/>
        <w:rPr>
          <w:rStyle w:val="Strong"/>
          <w:rFonts w:ascii="Times New Roman" w:hAnsi="Times New Roman" w:cs="Times New Roman"/>
          <w:b w:val="0"/>
          <w:sz w:val="24"/>
        </w:rPr>
      </w:pPr>
    </w:p>
    <w:p w:rsidR="008614F4" w:rsidRDefault="008614F4" w:rsidP="007E793E">
      <w:pPr>
        <w:spacing w:after="0" w:line="240" w:lineRule="auto"/>
        <w:ind w:right="15"/>
        <w:rPr>
          <w:rStyle w:val="Strong"/>
          <w:rFonts w:ascii="Times New Roman" w:hAnsi="Times New Roman" w:cs="Times New Roman"/>
          <w:b w:val="0"/>
          <w:sz w:val="24"/>
        </w:rPr>
      </w:pPr>
    </w:p>
    <w:p w:rsidR="008614F4" w:rsidRDefault="008614F4" w:rsidP="007E793E">
      <w:pPr>
        <w:spacing w:after="0" w:line="240" w:lineRule="auto"/>
        <w:ind w:right="15"/>
        <w:rPr>
          <w:rStyle w:val="Strong"/>
          <w:rFonts w:ascii="Times New Roman" w:hAnsi="Times New Roman" w:cs="Times New Roman"/>
          <w:b w:val="0"/>
          <w:sz w:val="24"/>
        </w:rPr>
      </w:pPr>
    </w:p>
    <w:p w:rsidR="008614F4" w:rsidRDefault="008614F4" w:rsidP="007E793E">
      <w:pPr>
        <w:spacing w:after="0" w:line="240" w:lineRule="auto"/>
        <w:ind w:right="15"/>
        <w:rPr>
          <w:rStyle w:val="Strong"/>
          <w:rFonts w:ascii="Times New Roman" w:hAnsi="Times New Roman" w:cs="Times New Roman"/>
          <w:b w:val="0"/>
          <w:sz w:val="24"/>
        </w:rPr>
      </w:pPr>
    </w:p>
    <w:p w:rsidR="007E793E" w:rsidRDefault="00765CED" w:rsidP="007E793E">
      <w:pPr>
        <w:spacing w:after="0" w:line="240" w:lineRule="auto"/>
        <w:ind w:right="15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noProof/>
        </w:rPr>
        <w:lastRenderedPageBreak/>
        <w:drawing>
          <wp:inline distT="0" distB="0" distL="0" distR="0" wp14:anchorId="22927C53" wp14:editId="4B3C2C5A">
            <wp:extent cx="6886575" cy="49244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793E" w:rsidRDefault="007E793E" w:rsidP="007E793E">
      <w:pPr>
        <w:spacing w:after="0" w:line="240" w:lineRule="auto"/>
        <w:ind w:right="15"/>
        <w:rPr>
          <w:rStyle w:val="Strong"/>
          <w:rFonts w:ascii="Times New Roman" w:hAnsi="Times New Roman" w:cs="Times New Roman"/>
          <w:b w:val="0"/>
          <w:sz w:val="24"/>
        </w:rPr>
      </w:pPr>
    </w:p>
    <w:p w:rsidR="008614F4" w:rsidRDefault="008614F4" w:rsidP="007E793E">
      <w:pPr>
        <w:spacing w:after="0" w:line="240" w:lineRule="auto"/>
        <w:ind w:right="15" w:firstLine="360"/>
        <w:rPr>
          <w:rStyle w:val="Strong"/>
          <w:rFonts w:ascii="Times New Roman" w:hAnsi="Times New Roman" w:cs="Times New Roman"/>
          <w:b w:val="0"/>
          <w:i/>
          <w:sz w:val="24"/>
        </w:rPr>
      </w:pPr>
    </w:p>
    <w:p w:rsidR="007E793E" w:rsidRPr="007E793E" w:rsidRDefault="007E793E" w:rsidP="007E793E">
      <w:pPr>
        <w:spacing w:after="0" w:line="240" w:lineRule="auto"/>
        <w:ind w:right="15" w:firstLine="360"/>
        <w:rPr>
          <w:rStyle w:val="Strong"/>
          <w:rFonts w:ascii="Times New Roman" w:hAnsi="Times New Roman" w:cs="Times New Roman"/>
          <w:b w:val="0"/>
          <w:i/>
          <w:sz w:val="24"/>
        </w:rPr>
      </w:pPr>
      <w:r w:rsidRPr="007E793E">
        <w:rPr>
          <w:rStyle w:val="Strong"/>
          <w:rFonts w:ascii="Times New Roman" w:hAnsi="Times New Roman" w:cs="Times New Roman"/>
          <w:b w:val="0"/>
          <w:i/>
          <w:sz w:val="24"/>
        </w:rPr>
        <w:t>Commissioner Rating of Proposals</w:t>
      </w:r>
    </w:p>
    <w:p w:rsidR="00AA6D79" w:rsidRDefault="00AA6D79" w:rsidP="007E793E">
      <w:pPr>
        <w:spacing w:after="0" w:line="240" w:lineRule="auto"/>
        <w:ind w:right="15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>City staff exported all commissioner ratings out of the Apricot system and into excel.  Staff then formulated a graph that includes the average commissioner score for each proposal.  Proposal ratings are</w:t>
      </w:r>
      <w:r w:rsidR="003528A5">
        <w:rPr>
          <w:rStyle w:val="Strong"/>
          <w:rFonts w:ascii="Times New Roman" w:hAnsi="Times New Roman" w:cs="Times New Roman"/>
          <w:b w:val="0"/>
          <w:sz w:val="24"/>
        </w:rPr>
        <w:t xml:space="preserve"> as seen in the following graph:</w:t>
      </w:r>
    </w:p>
    <w:p w:rsidR="00AA6D79" w:rsidRDefault="00AA6D79" w:rsidP="007E793E">
      <w:pPr>
        <w:spacing w:after="0" w:line="240" w:lineRule="auto"/>
        <w:ind w:right="15"/>
        <w:rPr>
          <w:rStyle w:val="Strong"/>
          <w:rFonts w:ascii="Times New Roman" w:hAnsi="Times New Roman" w:cs="Times New Roman"/>
          <w:b w:val="0"/>
          <w:sz w:val="24"/>
        </w:rPr>
      </w:pPr>
    </w:p>
    <w:p w:rsidR="00AA6D79" w:rsidRDefault="00765CED" w:rsidP="007E793E">
      <w:pPr>
        <w:spacing w:after="0" w:line="240" w:lineRule="auto"/>
        <w:ind w:right="15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noProof/>
        </w:rPr>
        <w:lastRenderedPageBreak/>
        <w:drawing>
          <wp:inline distT="0" distB="0" distL="0" distR="0" wp14:anchorId="05EA62A8" wp14:editId="0AF37122">
            <wp:extent cx="6886575" cy="49053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6D79" w:rsidRPr="007E793E" w:rsidRDefault="00AA6D79" w:rsidP="007E793E">
      <w:pPr>
        <w:spacing w:after="0" w:line="240" w:lineRule="auto"/>
        <w:ind w:right="15"/>
        <w:rPr>
          <w:rStyle w:val="Strong"/>
          <w:rFonts w:ascii="Times New Roman" w:hAnsi="Times New Roman" w:cs="Times New Roman"/>
          <w:b w:val="0"/>
          <w:sz w:val="24"/>
        </w:rPr>
      </w:pPr>
    </w:p>
    <w:p w:rsidR="007E793E" w:rsidRPr="005E3861" w:rsidRDefault="007E793E" w:rsidP="00A84BD6">
      <w:pPr>
        <w:spacing w:after="0" w:line="240" w:lineRule="auto"/>
        <w:ind w:right="15"/>
        <w:rPr>
          <w:rFonts w:ascii="Times New Roman" w:hAnsi="Times New Roman" w:cs="Times New Roman"/>
          <w:sz w:val="20"/>
          <w:szCs w:val="24"/>
        </w:rPr>
      </w:pPr>
    </w:p>
    <w:p w:rsidR="00DA4A8D" w:rsidRPr="00DA4A8D" w:rsidRDefault="00591ECB" w:rsidP="00DA4A8D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CDBG/HOME Staff Funding Reco</w:t>
      </w:r>
      <w:r w:rsidR="00DA4A8D">
        <w:rPr>
          <w:rFonts w:ascii="Times New Roman" w:hAnsi="Times New Roman" w:cs="Times New Roman"/>
          <w:sz w:val="24"/>
          <w:szCs w:val="24"/>
          <w:u w:val="single"/>
        </w:rPr>
        <w:t>mmendations According to Rating</w:t>
      </w:r>
    </w:p>
    <w:p w:rsidR="00DA4A8D" w:rsidRDefault="00DA4A8D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A46F10" w:rsidRDefault="00591ECB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A184E">
        <w:rPr>
          <w:rFonts w:ascii="Times New Roman" w:hAnsi="Times New Roman" w:cs="Times New Roman"/>
          <w:sz w:val="24"/>
          <w:szCs w:val="24"/>
        </w:rPr>
        <w:t>two charts</w:t>
      </w:r>
      <w:r w:rsidR="00355493">
        <w:rPr>
          <w:rFonts w:ascii="Times New Roman" w:hAnsi="Times New Roman" w:cs="Times New Roman"/>
          <w:sz w:val="24"/>
          <w:szCs w:val="24"/>
        </w:rPr>
        <w:t xml:space="preserve"> on the following pages</w:t>
      </w:r>
      <w:r w:rsidR="008A184E">
        <w:rPr>
          <w:rFonts w:ascii="Times New Roman" w:hAnsi="Times New Roman" w:cs="Times New Roman"/>
          <w:sz w:val="24"/>
          <w:szCs w:val="24"/>
        </w:rPr>
        <w:t xml:space="preserve"> display staff recommendations to begin the funding </w:t>
      </w:r>
      <w:r w:rsidR="00430C15">
        <w:rPr>
          <w:rFonts w:ascii="Times New Roman" w:hAnsi="Times New Roman" w:cs="Times New Roman"/>
          <w:sz w:val="24"/>
          <w:szCs w:val="24"/>
        </w:rPr>
        <w:t>recommendations</w:t>
      </w:r>
      <w:r w:rsidR="008A184E">
        <w:rPr>
          <w:rFonts w:ascii="Times New Roman" w:hAnsi="Times New Roman" w:cs="Times New Roman"/>
          <w:sz w:val="24"/>
          <w:szCs w:val="24"/>
        </w:rPr>
        <w:t xml:space="preserve"> discussion.  </w:t>
      </w:r>
      <w:r w:rsidR="00984F8C">
        <w:rPr>
          <w:rFonts w:ascii="Times New Roman" w:hAnsi="Times New Roman" w:cs="Times New Roman"/>
          <w:sz w:val="24"/>
          <w:szCs w:val="24"/>
        </w:rPr>
        <w:t xml:space="preserve">The recommendations are </w:t>
      </w:r>
      <w:r w:rsidR="00A46F10">
        <w:rPr>
          <w:rFonts w:ascii="Times New Roman" w:hAnsi="Times New Roman" w:cs="Times New Roman"/>
          <w:sz w:val="24"/>
          <w:szCs w:val="24"/>
        </w:rPr>
        <w:t xml:space="preserve">based on commissioner ratings, survey data, and Con-Plan Deliverables.  The recommendations </w:t>
      </w:r>
      <w:r w:rsidR="00984F8C">
        <w:rPr>
          <w:rFonts w:ascii="Times New Roman" w:hAnsi="Times New Roman" w:cs="Times New Roman"/>
          <w:sz w:val="24"/>
          <w:szCs w:val="24"/>
        </w:rPr>
        <w:t xml:space="preserve">should be </w:t>
      </w:r>
      <w:r w:rsidR="00A46F10">
        <w:rPr>
          <w:rFonts w:ascii="Times New Roman" w:hAnsi="Times New Roman" w:cs="Times New Roman"/>
          <w:sz w:val="24"/>
          <w:szCs w:val="24"/>
        </w:rPr>
        <w:t>viewe</w:t>
      </w:r>
      <w:r w:rsidR="00984F8C">
        <w:rPr>
          <w:rFonts w:ascii="Times New Roman" w:hAnsi="Times New Roman" w:cs="Times New Roman"/>
          <w:sz w:val="24"/>
          <w:szCs w:val="24"/>
        </w:rPr>
        <w:t>d as a guide for</w:t>
      </w:r>
      <w:r w:rsidR="00A46F10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984F8C">
        <w:rPr>
          <w:rFonts w:ascii="Times New Roman" w:hAnsi="Times New Roman" w:cs="Times New Roman"/>
          <w:sz w:val="24"/>
          <w:szCs w:val="24"/>
        </w:rPr>
        <w:t xml:space="preserve"> discussion and </w:t>
      </w:r>
      <w:r w:rsidR="00A46F10">
        <w:rPr>
          <w:rFonts w:ascii="Times New Roman" w:hAnsi="Times New Roman" w:cs="Times New Roman"/>
          <w:sz w:val="24"/>
          <w:szCs w:val="24"/>
        </w:rPr>
        <w:t xml:space="preserve">as a tool for </w:t>
      </w:r>
      <w:r w:rsidR="00984F8C">
        <w:rPr>
          <w:rFonts w:ascii="Times New Roman" w:hAnsi="Times New Roman" w:cs="Times New Roman"/>
          <w:sz w:val="24"/>
          <w:szCs w:val="24"/>
        </w:rPr>
        <w:t>making a final</w:t>
      </w:r>
      <w:r w:rsidR="00A46F10">
        <w:rPr>
          <w:rFonts w:ascii="Times New Roman" w:hAnsi="Times New Roman" w:cs="Times New Roman"/>
          <w:sz w:val="24"/>
          <w:szCs w:val="24"/>
        </w:rPr>
        <w:t xml:space="preserve"> funding recommendation</w:t>
      </w:r>
      <w:r w:rsidR="00984F8C">
        <w:rPr>
          <w:rFonts w:ascii="Times New Roman" w:hAnsi="Times New Roman" w:cs="Times New Roman"/>
          <w:sz w:val="24"/>
          <w:szCs w:val="24"/>
        </w:rPr>
        <w:t xml:space="preserve"> decision.</w:t>
      </w:r>
      <w:r w:rsidR="008614F4">
        <w:rPr>
          <w:rFonts w:ascii="Times New Roman" w:hAnsi="Times New Roman" w:cs="Times New Roman"/>
          <w:sz w:val="24"/>
          <w:szCs w:val="24"/>
        </w:rPr>
        <w:t xml:space="preserve"> Staff recommends the C</w:t>
      </w:r>
      <w:r w:rsidR="00520731">
        <w:rPr>
          <w:rFonts w:ascii="Times New Roman" w:hAnsi="Times New Roman" w:cs="Times New Roman"/>
          <w:sz w:val="24"/>
          <w:szCs w:val="24"/>
        </w:rPr>
        <w:t>ommission move funding as desired</w:t>
      </w:r>
      <w:r w:rsidR="008614F4">
        <w:rPr>
          <w:rFonts w:ascii="Times New Roman" w:hAnsi="Times New Roman" w:cs="Times New Roman"/>
          <w:sz w:val="24"/>
          <w:szCs w:val="24"/>
        </w:rPr>
        <w:t xml:space="preserve"> to obtain consensus on recommendations to Council.</w:t>
      </w:r>
    </w:p>
    <w:p w:rsidR="00A46F10" w:rsidRDefault="00A46F10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850DF8" w:rsidRDefault="00430C15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Policy Resolution allows the City to go outside of funding per</w:t>
      </w:r>
      <w:r w:rsidR="00850DF8">
        <w:rPr>
          <w:rFonts w:ascii="Times New Roman" w:hAnsi="Times New Roman" w:cs="Times New Roman"/>
          <w:sz w:val="24"/>
          <w:szCs w:val="24"/>
        </w:rPr>
        <w:t>centages for the following reasons:</w:t>
      </w:r>
    </w:p>
    <w:p w:rsidR="00850DF8" w:rsidRDefault="00850DF8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850DF8" w:rsidRPr="00850DF8" w:rsidRDefault="00850DF8" w:rsidP="00850DF8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50DF8">
        <w:rPr>
          <w:rFonts w:ascii="Times New Roman" w:hAnsi="Times New Roman" w:cs="Times New Roman"/>
          <w:sz w:val="24"/>
          <w:szCs w:val="24"/>
        </w:rPr>
        <w:t>1.   To ensure the City is proportionally meeting its 5-year Consolidated Plan goals for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F8">
        <w:rPr>
          <w:rFonts w:ascii="Times New Roman" w:hAnsi="Times New Roman" w:cs="Times New Roman"/>
          <w:sz w:val="24"/>
          <w:szCs w:val="24"/>
        </w:rPr>
        <w:t xml:space="preserve">categories; </w:t>
      </w:r>
    </w:p>
    <w:p w:rsidR="00850DF8" w:rsidRPr="00850DF8" w:rsidRDefault="00850DF8" w:rsidP="00850DF8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50DF8">
        <w:rPr>
          <w:rFonts w:ascii="Times New Roman" w:hAnsi="Times New Roman" w:cs="Times New Roman"/>
          <w:sz w:val="24"/>
          <w:szCs w:val="24"/>
        </w:rPr>
        <w:t xml:space="preserve">2.   When a unique project can only be implemented with the level of funding requested; </w:t>
      </w:r>
    </w:p>
    <w:p w:rsidR="00850DF8" w:rsidRPr="00850DF8" w:rsidRDefault="00850DF8" w:rsidP="00850DF8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50DF8">
        <w:rPr>
          <w:rFonts w:ascii="Times New Roman" w:hAnsi="Times New Roman" w:cs="Times New Roman"/>
          <w:sz w:val="24"/>
          <w:szCs w:val="24"/>
        </w:rPr>
        <w:t xml:space="preserve">3.   When no funding requests are submitted within a specific category;  </w:t>
      </w:r>
    </w:p>
    <w:p w:rsidR="00850DF8" w:rsidRDefault="00850DF8" w:rsidP="00850DF8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850DF8">
        <w:rPr>
          <w:rFonts w:ascii="Times New Roman" w:hAnsi="Times New Roman" w:cs="Times New Roman"/>
          <w:sz w:val="24"/>
          <w:szCs w:val="24"/>
        </w:rPr>
        <w:t>4.   Or, when funding request(s) within a category are not associated with a viable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F8">
        <w:rPr>
          <w:rFonts w:ascii="Times New Roman" w:hAnsi="Times New Roman" w:cs="Times New Roman"/>
          <w:sz w:val="24"/>
          <w:szCs w:val="24"/>
        </w:rPr>
        <w:t>proposal.</w:t>
      </w:r>
    </w:p>
    <w:p w:rsidR="00850DF8" w:rsidRDefault="00850DF8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3202C6" w:rsidRDefault="00F8428E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staff recommends the Commission vote upon recommended homeless day center funds prior to determining CDBG recommendations.  CDBG and HOME funding recommendations are as follows:</w:t>
      </w:r>
    </w:p>
    <w:p w:rsidR="003202C6" w:rsidRDefault="003202C6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181975" w:rsidRDefault="00181975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  <w:sectPr w:rsidR="00181975" w:rsidSect="0003059D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136"/>
        <w:tblW w:w="11808" w:type="dxa"/>
        <w:tblLook w:val="04A0" w:firstRow="1" w:lastRow="0" w:firstColumn="1" w:lastColumn="0" w:noHBand="0" w:noVBand="1"/>
      </w:tblPr>
      <w:tblGrid>
        <w:gridCol w:w="1998"/>
        <w:gridCol w:w="3132"/>
        <w:gridCol w:w="1620"/>
        <w:gridCol w:w="748"/>
        <w:gridCol w:w="2582"/>
        <w:gridCol w:w="1728"/>
      </w:tblGrid>
      <w:tr w:rsidR="00520731" w:rsidRPr="00520731" w:rsidTr="00520731">
        <w:trPr>
          <w:trHeight w:val="255"/>
        </w:trPr>
        <w:tc>
          <w:tcPr>
            <w:tcW w:w="1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2017 Community Development Commission Funding Recommendations</w:t>
            </w:r>
            <w:r w:rsidR="008664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-CDBG</w:t>
            </w:r>
            <w:bookmarkStart w:id="0" w:name="_GoBack"/>
            <w:bookmarkEnd w:id="0"/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Request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Rating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Funding Recommendation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Percent of Total Funding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Housing 25-40%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4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 Modification and Accessibility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119,350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105,000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 Dept.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 Rehab and Repair Programs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194,880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160,000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 Dept.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Homeownership Assistance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10,000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     8,000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 Dept.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Demolition &amp; Acquisition Program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90,000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   30,000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 Dept.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NRT Code Enforcement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35,000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   30,000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449,230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$                             333,000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73E5" w:rsidRPr="00520731" w:rsidTr="005073E5">
        <w:trPr>
          <w:trHeight w:val="29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073E5" w:rsidRPr="00520731" w:rsidRDefault="005073E5" w:rsidP="00507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Neighborhood Needs 20-50%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073E5" w:rsidRPr="00520731" w:rsidRDefault="005073E5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073E5" w:rsidRPr="00520731" w:rsidRDefault="005073E5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073E5" w:rsidRPr="00520731" w:rsidRDefault="005073E5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73E5" w:rsidRPr="00520731" w:rsidRDefault="005073E5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Show-Me Habitat for Humanity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Brown Station Rd. Development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200,000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   85,000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 of Columbia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Garth, Sexton, Oak &amp; Lynn Sidewalks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119,548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   80,000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200,000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$                             165,000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73E5" w:rsidRPr="00520731" w:rsidTr="00FC679E">
        <w:trPr>
          <w:trHeight w:val="25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073E5" w:rsidRPr="00520731" w:rsidRDefault="005073E5" w:rsidP="00507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Economic Development 10-50%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073E5" w:rsidRPr="00520731" w:rsidRDefault="005073E5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073E5" w:rsidRPr="00520731" w:rsidRDefault="005073E5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073E5" w:rsidRPr="00520731" w:rsidRDefault="005073E5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73E5" w:rsidRPr="00520731" w:rsidRDefault="005073E5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Job Point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Vocational Training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110,000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102,700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110,000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$                             102,700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12%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73E5" w:rsidRPr="00520731" w:rsidTr="00172E38">
        <w:trPr>
          <w:trHeight w:val="25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073E5" w:rsidRPr="00520731" w:rsidRDefault="005073E5" w:rsidP="00507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Community Facilities 0-30%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073E5" w:rsidRPr="00520731" w:rsidRDefault="005073E5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073E5" w:rsidRPr="00520731" w:rsidRDefault="005073E5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073E5" w:rsidRPr="00520731" w:rsidRDefault="005073E5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73E5" w:rsidRPr="00520731" w:rsidRDefault="005073E5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="005073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Worley Head Start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85,000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   70,000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Job Point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Facility Purchase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275,000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            - 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YEZ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Facility Construction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250,000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            - 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Family Health Center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Renovations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67,944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            - 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677,944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$                                70,000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8%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Fair Housing 0-5%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Fair Housing Set-Aside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Counseling, outreach and education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14,000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   14,000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14,000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$                                14,000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Administration 0-5%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 Dept.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150,300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150,300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150,300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$                             150,300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18%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1,601,474 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$                             835,000 </w:t>
            </w:r>
          </w:p>
        </w:tc>
        <w:tc>
          <w:tcPr>
            <w:tcW w:w="17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Funds Available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835,000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0731" w:rsidRPr="00520731" w:rsidTr="005073E5">
        <w:trPr>
          <w:trHeight w:val="255"/>
        </w:trPr>
        <w:tc>
          <w:tcPr>
            <w:tcW w:w="1008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Public Service Cap 15% x $835,000 (Homebuyer Classes, Vocational Training, Fair Housing Counseling)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31" w:rsidRPr="00520731" w:rsidRDefault="00520731" w:rsidP="0052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07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15%</w:t>
            </w:r>
          </w:p>
        </w:tc>
      </w:tr>
    </w:tbl>
    <w:p w:rsidR="00181975" w:rsidRDefault="00181975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181975" w:rsidRDefault="00181975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4C030F" w:rsidRDefault="004C030F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4C030F" w:rsidRDefault="004C030F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4C030F" w:rsidRDefault="004C030F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  <w:sectPr w:rsidR="004C030F" w:rsidSect="005207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3435"/>
        <w:gridCol w:w="2610"/>
        <w:gridCol w:w="1473"/>
        <w:gridCol w:w="748"/>
        <w:gridCol w:w="2549"/>
      </w:tblGrid>
      <w:tr w:rsidR="007A3D52" w:rsidRPr="007A3D52" w:rsidTr="007A3D52">
        <w:trPr>
          <w:trHeight w:val="255"/>
        </w:trPr>
        <w:tc>
          <w:tcPr>
            <w:tcW w:w="10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2017 Community Development Commission Funding Recommendations-HOME</w:t>
            </w:r>
          </w:p>
        </w:tc>
      </w:tr>
      <w:tr w:rsidR="007A3D52" w:rsidRPr="007A3D52" w:rsidTr="007A3D52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Request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Rating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Funding Recommendation </w:t>
            </w:r>
          </w:p>
        </w:tc>
      </w:tr>
      <w:tr w:rsidR="007A3D52" w:rsidRPr="007A3D52" w:rsidTr="007A3D52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 Housing Authority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Bryant Walkway II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100,000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100,000 </w:t>
            </w:r>
          </w:p>
        </w:tc>
      </w:tr>
      <w:tr w:rsidR="007A3D52" w:rsidRPr="007A3D52" w:rsidTr="007A3D52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 Dept.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Homeownership Assistance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170,000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164,250 </w:t>
            </w:r>
          </w:p>
        </w:tc>
      </w:tr>
      <w:tr w:rsidR="007A3D52" w:rsidRPr="007A3D52" w:rsidTr="007A3D52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Show-Me Central Habitat for Humanity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Boone Prairie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50,000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   47,000 </w:t>
            </w:r>
          </w:p>
        </w:tc>
      </w:tr>
      <w:tr w:rsidR="007A3D52" w:rsidRPr="007A3D52" w:rsidTr="007A3D52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CHDO-15% Set-Aside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62,250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   62,250 </w:t>
            </w:r>
          </w:p>
        </w:tc>
      </w:tr>
      <w:tr w:rsidR="007A3D52" w:rsidRPr="007A3D52" w:rsidTr="007A3D52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Administration-10%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41,500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   41,500 </w:t>
            </w:r>
          </w:p>
        </w:tc>
      </w:tr>
      <w:tr w:rsidR="007A3D52" w:rsidRPr="007A3D52" w:rsidTr="007A3D52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$        423,750 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$                             415,000 </w:t>
            </w:r>
          </w:p>
        </w:tc>
      </w:tr>
      <w:tr w:rsidR="007A3D52" w:rsidRPr="007A3D52" w:rsidTr="007A3D52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Funds Available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2" w:rsidRPr="007A3D52" w:rsidRDefault="007A3D52" w:rsidP="007A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D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                 415,000 </w:t>
            </w:r>
          </w:p>
        </w:tc>
      </w:tr>
    </w:tbl>
    <w:p w:rsidR="003202C6" w:rsidRDefault="003202C6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p w:rsidR="00A46F10" w:rsidRPr="00A46F10" w:rsidRDefault="00A46F10" w:rsidP="00A84BD6">
      <w:p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</w:p>
    <w:sectPr w:rsidR="00A46F10" w:rsidRPr="00A46F10" w:rsidSect="00030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31" w:rsidRDefault="00520731" w:rsidP="00E066C0">
      <w:pPr>
        <w:spacing w:after="0" w:line="240" w:lineRule="auto"/>
      </w:pPr>
      <w:r>
        <w:separator/>
      </w:r>
    </w:p>
  </w:endnote>
  <w:endnote w:type="continuationSeparator" w:id="0">
    <w:p w:rsidR="00520731" w:rsidRDefault="00520731" w:rsidP="00E0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31" w:rsidRDefault="00520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31" w:rsidRDefault="00520731" w:rsidP="00E066C0">
      <w:pPr>
        <w:spacing w:after="0" w:line="240" w:lineRule="auto"/>
      </w:pPr>
      <w:r>
        <w:separator/>
      </w:r>
    </w:p>
  </w:footnote>
  <w:footnote w:type="continuationSeparator" w:id="0">
    <w:p w:rsidR="00520731" w:rsidRDefault="00520731" w:rsidP="00E0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640D"/>
    <w:multiLevelType w:val="hybridMultilevel"/>
    <w:tmpl w:val="46C66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5FE"/>
    <w:multiLevelType w:val="hybridMultilevel"/>
    <w:tmpl w:val="1D966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538"/>
    <w:multiLevelType w:val="hybridMultilevel"/>
    <w:tmpl w:val="36FCDDA0"/>
    <w:lvl w:ilvl="0" w:tplc="AAACFA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275FD"/>
    <w:multiLevelType w:val="hybridMultilevel"/>
    <w:tmpl w:val="CF8C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A4CF0"/>
    <w:multiLevelType w:val="hybridMultilevel"/>
    <w:tmpl w:val="B9FC6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A0C59"/>
    <w:multiLevelType w:val="hybridMultilevel"/>
    <w:tmpl w:val="C9845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43D6C"/>
    <w:multiLevelType w:val="hybridMultilevel"/>
    <w:tmpl w:val="4C08477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E767BC3"/>
    <w:multiLevelType w:val="hybridMultilevel"/>
    <w:tmpl w:val="54C8EA42"/>
    <w:lvl w:ilvl="0" w:tplc="49547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9FA642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9509CD"/>
    <w:multiLevelType w:val="hybridMultilevel"/>
    <w:tmpl w:val="B386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C6652"/>
    <w:multiLevelType w:val="hybridMultilevel"/>
    <w:tmpl w:val="54103CB8"/>
    <w:lvl w:ilvl="0" w:tplc="B5EE21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8B1607B"/>
    <w:multiLevelType w:val="hybridMultilevel"/>
    <w:tmpl w:val="BCE4F8D0"/>
    <w:lvl w:ilvl="0" w:tplc="9034A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751E0"/>
    <w:multiLevelType w:val="hybridMultilevel"/>
    <w:tmpl w:val="A04E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A3023"/>
    <w:multiLevelType w:val="hybridMultilevel"/>
    <w:tmpl w:val="F622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D4D71"/>
    <w:multiLevelType w:val="hybridMultilevel"/>
    <w:tmpl w:val="E856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1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3B"/>
    <w:rsid w:val="00002E1A"/>
    <w:rsid w:val="00016A40"/>
    <w:rsid w:val="00017FE0"/>
    <w:rsid w:val="0003059D"/>
    <w:rsid w:val="0006178A"/>
    <w:rsid w:val="00071518"/>
    <w:rsid w:val="00090F01"/>
    <w:rsid w:val="000A2FD9"/>
    <w:rsid w:val="000B2AA6"/>
    <w:rsid w:val="000E211F"/>
    <w:rsid w:val="000F7EDE"/>
    <w:rsid w:val="00117527"/>
    <w:rsid w:val="00143AA7"/>
    <w:rsid w:val="00181975"/>
    <w:rsid w:val="001E263B"/>
    <w:rsid w:val="00203DAC"/>
    <w:rsid w:val="0021125B"/>
    <w:rsid w:val="00216F3E"/>
    <w:rsid w:val="0028442B"/>
    <w:rsid w:val="002A1216"/>
    <w:rsid w:val="002D60D9"/>
    <w:rsid w:val="002E263F"/>
    <w:rsid w:val="002E2ED1"/>
    <w:rsid w:val="003202C6"/>
    <w:rsid w:val="0034702F"/>
    <w:rsid w:val="003528A5"/>
    <w:rsid w:val="00355493"/>
    <w:rsid w:val="00362A4B"/>
    <w:rsid w:val="00364167"/>
    <w:rsid w:val="00386FAA"/>
    <w:rsid w:val="00396EDB"/>
    <w:rsid w:val="003A50B6"/>
    <w:rsid w:val="004003E5"/>
    <w:rsid w:val="00430C15"/>
    <w:rsid w:val="004348CC"/>
    <w:rsid w:val="00442F67"/>
    <w:rsid w:val="00462258"/>
    <w:rsid w:val="00476242"/>
    <w:rsid w:val="0048599C"/>
    <w:rsid w:val="004862D7"/>
    <w:rsid w:val="004A3055"/>
    <w:rsid w:val="004B60CD"/>
    <w:rsid w:val="004C030F"/>
    <w:rsid w:val="004D6613"/>
    <w:rsid w:val="004F7F08"/>
    <w:rsid w:val="005073E5"/>
    <w:rsid w:val="00520731"/>
    <w:rsid w:val="00544D21"/>
    <w:rsid w:val="00564D00"/>
    <w:rsid w:val="00591ECB"/>
    <w:rsid w:val="005B4947"/>
    <w:rsid w:val="005D4F91"/>
    <w:rsid w:val="005E3861"/>
    <w:rsid w:val="005F6553"/>
    <w:rsid w:val="005F677D"/>
    <w:rsid w:val="005F7D85"/>
    <w:rsid w:val="006149C1"/>
    <w:rsid w:val="006176F0"/>
    <w:rsid w:val="00622022"/>
    <w:rsid w:val="006247C3"/>
    <w:rsid w:val="00626CC8"/>
    <w:rsid w:val="006454FA"/>
    <w:rsid w:val="006A179D"/>
    <w:rsid w:val="006B4482"/>
    <w:rsid w:val="006C294A"/>
    <w:rsid w:val="0073106A"/>
    <w:rsid w:val="00765CED"/>
    <w:rsid w:val="00783789"/>
    <w:rsid w:val="0079335B"/>
    <w:rsid w:val="007A3D52"/>
    <w:rsid w:val="007E00DE"/>
    <w:rsid w:val="007E793E"/>
    <w:rsid w:val="00800A96"/>
    <w:rsid w:val="00850DF8"/>
    <w:rsid w:val="00861384"/>
    <w:rsid w:val="008614F4"/>
    <w:rsid w:val="00862B4C"/>
    <w:rsid w:val="008664D8"/>
    <w:rsid w:val="00880471"/>
    <w:rsid w:val="008A184E"/>
    <w:rsid w:val="008A5566"/>
    <w:rsid w:val="008C02D4"/>
    <w:rsid w:val="00924481"/>
    <w:rsid w:val="00926D78"/>
    <w:rsid w:val="00936D08"/>
    <w:rsid w:val="00951A9B"/>
    <w:rsid w:val="00956008"/>
    <w:rsid w:val="00973016"/>
    <w:rsid w:val="00984F8C"/>
    <w:rsid w:val="00A2330B"/>
    <w:rsid w:val="00A46F10"/>
    <w:rsid w:val="00A73659"/>
    <w:rsid w:val="00A75DC5"/>
    <w:rsid w:val="00A81116"/>
    <w:rsid w:val="00A82039"/>
    <w:rsid w:val="00A84BD6"/>
    <w:rsid w:val="00A925B0"/>
    <w:rsid w:val="00AA6D79"/>
    <w:rsid w:val="00B666C3"/>
    <w:rsid w:val="00B8074C"/>
    <w:rsid w:val="00B8163A"/>
    <w:rsid w:val="00BD3E37"/>
    <w:rsid w:val="00BD621B"/>
    <w:rsid w:val="00BF425E"/>
    <w:rsid w:val="00BF5F43"/>
    <w:rsid w:val="00C107E4"/>
    <w:rsid w:val="00C707F6"/>
    <w:rsid w:val="00C850D8"/>
    <w:rsid w:val="00CC4B31"/>
    <w:rsid w:val="00CD28A3"/>
    <w:rsid w:val="00D14082"/>
    <w:rsid w:val="00D2237B"/>
    <w:rsid w:val="00D3566B"/>
    <w:rsid w:val="00D74BDA"/>
    <w:rsid w:val="00D97F02"/>
    <w:rsid w:val="00DA125A"/>
    <w:rsid w:val="00DA4A8D"/>
    <w:rsid w:val="00DA4D4D"/>
    <w:rsid w:val="00DE61CE"/>
    <w:rsid w:val="00DF4CE3"/>
    <w:rsid w:val="00E066C0"/>
    <w:rsid w:val="00E1705A"/>
    <w:rsid w:val="00E17A4F"/>
    <w:rsid w:val="00E21F1F"/>
    <w:rsid w:val="00E2389E"/>
    <w:rsid w:val="00E37527"/>
    <w:rsid w:val="00E437AF"/>
    <w:rsid w:val="00E438C1"/>
    <w:rsid w:val="00E75889"/>
    <w:rsid w:val="00E77115"/>
    <w:rsid w:val="00E9598E"/>
    <w:rsid w:val="00EA28B0"/>
    <w:rsid w:val="00F3149B"/>
    <w:rsid w:val="00F57772"/>
    <w:rsid w:val="00F63989"/>
    <w:rsid w:val="00F768DF"/>
    <w:rsid w:val="00F8428E"/>
    <w:rsid w:val="00FA08F8"/>
    <w:rsid w:val="00FB1414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B8FBA-2A65-4E50-96A8-0FF02AFE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1E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02F"/>
    <w:pPr>
      <w:ind w:left="720"/>
      <w:contextualSpacing/>
    </w:pPr>
  </w:style>
  <w:style w:type="paragraph" w:styleId="PlainText">
    <w:name w:val="Plain Text"/>
    <w:basedOn w:val="Normal"/>
    <w:link w:val="PlainTextChar"/>
    <w:rsid w:val="00EA28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28B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C0"/>
  </w:style>
  <w:style w:type="paragraph" w:styleId="Footer">
    <w:name w:val="footer"/>
    <w:basedOn w:val="Normal"/>
    <w:link w:val="FooterChar"/>
    <w:uiPriority w:val="99"/>
    <w:unhideWhenUsed/>
    <w:rsid w:val="00E0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C0"/>
  </w:style>
  <w:style w:type="character" w:styleId="Strong">
    <w:name w:val="Strong"/>
    <w:basedOn w:val="DefaultParagraphFont"/>
    <w:uiPriority w:val="22"/>
    <w:qFormat/>
    <w:rsid w:val="007E7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Percent</a:t>
            </a:r>
            <a:r>
              <a:rPr lang="en-US" baseline="0"/>
              <a:t> CDBG</a:t>
            </a:r>
            <a:r>
              <a:rPr lang="en-US"/>
              <a:t> Budgeted to Date By Category: </a:t>
            </a:r>
          </a:p>
          <a:p>
            <a:pPr>
              <a:defRPr/>
            </a:pPr>
            <a:r>
              <a:rPr lang="en-US"/>
              <a:t>Through 2017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bg1">
                <a:alpha val="0"/>
              </a:schemeClr>
            </a:solidFill>
            <a:ln>
              <a:noFill/>
            </a:ln>
          </c:spPr>
          <c:invertIfNegative val="0"/>
          <c:cat>
            <c:strRef>
              <c:f>'[Chart in Microsoft Word]Sheet3'!$B$72:$B$77</c:f>
              <c:strCache>
                <c:ptCount val="6"/>
                <c:pt idx="0">
                  <c:v>Affordable Housing</c:v>
                </c:pt>
                <c:pt idx="1">
                  <c:v>Neighborhood Needs</c:v>
                </c:pt>
                <c:pt idx="2">
                  <c:v>Economic Development</c:v>
                </c:pt>
                <c:pt idx="3">
                  <c:v>Community Facilities</c:v>
                </c:pt>
                <c:pt idx="4">
                  <c:v>Fair Housing</c:v>
                </c:pt>
                <c:pt idx="5">
                  <c:v>Administration</c:v>
                </c:pt>
              </c:strCache>
            </c:strRef>
          </c:cat>
          <c:val>
            <c:numRef>
              <c:f>'[Chart in Microsoft Word]Sheet3'!$C$72:$C$77</c:f>
              <c:numCache>
                <c:formatCode>0%</c:formatCode>
                <c:ptCount val="6"/>
                <c:pt idx="0">
                  <c:v>0.25</c:v>
                </c:pt>
                <c:pt idx="1">
                  <c:v>0.2</c:v>
                </c:pt>
                <c:pt idx="2">
                  <c:v>0.1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chemeClr val="bg1">
                <a:lumMod val="85000"/>
              </a:schemeClr>
            </a:solidFill>
            <a:ln>
              <a:noFill/>
            </a:ln>
          </c:spPr>
          <c:invertIfNegative val="0"/>
          <c:cat>
            <c:strRef>
              <c:f>'[Chart in Microsoft Word]Sheet3'!$B$72:$B$77</c:f>
              <c:strCache>
                <c:ptCount val="6"/>
                <c:pt idx="0">
                  <c:v>Affordable Housing</c:v>
                </c:pt>
                <c:pt idx="1">
                  <c:v>Neighborhood Needs</c:v>
                </c:pt>
                <c:pt idx="2">
                  <c:v>Economic Development</c:v>
                </c:pt>
                <c:pt idx="3">
                  <c:v>Community Facilities</c:v>
                </c:pt>
                <c:pt idx="4">
                  <c:v>Fair Housing</c:v>
                </c:pt>
                <c:pt idx="5">
                  <c:v>Administration</c:v>
                </c:pt>
              </c:strCache>
            </c:strRef>
          </c:cat>
          <c:val>
            <c:numRef>
              <c:f>'[Chart in Microsoft Word]Sheet3'!$D$72:$D$77</c:f>
              <c:numCache>
                <c:formatCode>0%</c:formatCode>
                <c:ptCount val="6"/>
                <c:pt idx="0">
                  <c:v>0.15</c:v>
                </c:pt>
                <c:pt idx="1">
                  <c:v>0.3</c:v>
                </c:pt>
                <c:pt idx="2">
                  <c:v>0.4</c:v>
                </c:pt>
                <c:pt idx="3">
                  <c:v>0.3</c:v>
                </c:pt>
                <c:pt idx="4">
                  <c:v>0.05</c:v>
                </c:pt>
                <c:pt idx="5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4"/>
        <c:overlap val="100"/>
        <c:axId val="7091192"/>
        <c:axId val="7050456"/>
      </c:barChart>
      <c:scatterChart>
        <c:scatterStyle val="lineMarker"/>
        <c:varyColors val="0"/>
        <c:ser>
          <c:idx val="2"/>
          <c:order val="2"/>
          <c:spPr>
            <a:ln w="28575">
              <a:noFill/>
            </a:ln>
          </c:spPr>
          <c:marker>
            <c:symbol val="circle"/>
            <c:size val="1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accent1">
                    <a:lumMod val="50000"/>
                  </a:schemeClr>
                </a:solidFill>
              </a:ln>
            </c:spPr>
          </c:marker>
          <c:dLbls>
            <c:spPr>
              <a:noFill/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'[Chart in Microsoft Word]Sheet3'!$B$72:$B$77</c:f>
              <c:strCache>
                <c:ptCount val="6"/>
                <c:pt idx="0">
                  <c:v>Affordable Housing</c:v>
                </c:pt>
                <c:pt idx="1">
                  <c:v>Neighborhood Needs</c:v>
                </c:pt>
                <c:pt idx="2">
                  <c:v>Economic Development</c:v>
                </c:pt>
                <c:pt idx="3">
                  <c:v>Community Facilities</c:v>
                </c:pt>
                <c:pt idx="4">
                  <c:v>Fair Housing</c:v>
                </c:pt>
                <c:pt idx="5">
                  <c:v>Administration</c:v>
                </c:pt>
              </c:strCache>
            </c:strRef>
          </c:xVal>
          <c:yVal>
            <c:numRef>
              <c:f>'[Chart in Microsoft Word]Sheet3'!$E$72:$E$77</c:f>
              <c:numCache>
                <c:formatCode>0.0%</c:formatCode>
                <c:ptCount val="6"/>
                <c:pt idx="0">
                  <c:v>0.41825008489327159</c:v>
                </c:pt>
                <c:pt idx="1">
                  <c:v>0.23307885218444477</c:v>
                </c:pt>
                <c:pt idx="2">
                  <c:v>9.4054917253777306E-2</c:v>
                </c:pt>
                <c:pt idx="3">
                  <c:v>0.10397343580053928</c:v>
                </c:pt>
                <c:pt idx="4">
                  <c:v>7.7789908574946902E-3</c:v>
                </c:pt>
                <c:pt idx="5">
                  <c:v>0.14286371901047235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91576"/>
        <c:axId val="7050840"/>
      </c:scatterChart>
      <c:catAx>
        <c:axId val="7091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50456"/>
        <c:crosses val="autoZero"/>
        <c:auto val="1"/>
        <c:lblAlgn val="ctr"/>
        <c:lblOffset val="100"/>
        <c:noMultiLvlLbl val="0"/>
      </c:catAx>
      <c:valAx>
        <c:axId val="705045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crossAx val="7091192"/>
        <c:crosses val="autoZero"/>
        <c:crossBetween val="between"/>
      </c:valAx>
      <c:valAx>
        <c:axId val="7050840"/>
        <c:scaling>
          <c:orientation val="minMax"/>
          <c:max val="0.60000000000000009"/>
          <c:min val="0"/>
        </c:scaling>
        <c:delete val="0"/>
        <c:axPos val="r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7091576"/>
        <c:crosses val="max"/>
        <c:crossBetween val="midCat"/>
      </c:valAx>
      <c:valAx>
        <c:axId val="7091576"/>
        <c:scaling>
          <c:orientation val="minMax"/>
        </c:scaling>
        <c:delete val="1"/>
        <c:axPos val="b"/>
        <c:majorTickMark val="out"/>
        <c:minorTickMark val="none"/>
        <c:tickLblPos val="nextTo"/>
        <c:crossAx val="7050840"/>
        <c:crosses val="autoZero"/>
        <c:crossBetween val="midCat"/>
      </c:valAx>
      <c:spPr>
        <a:solidFill>
          <a:schemeClr val="bg1"/>
        </a:solidFill>
      </c:spPr>
    </c:plotArea>
    <c:plotVisOnly val="1"/>
    <c:dispBlanksAs val="gap"/>
    <c:showDLblsOverMax val="0"/>
  </c:chart>
  <c:spPr>
    <a:solidFill>
      <a:schemeClr val="bg1"/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FY 2018 Community Development Needs Survey Results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57185306193572272"/>
          <c:y val="0.11083182300471629"/>
          <c:w val="0.3919183338597198"/>
          <c:h val="0.7858757113774704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'[Chart 2 in Microsoft Word]Survey'!$A$56:$A$69</c:f>
              <c:strCache>
                <c:ptCount val="14"/>
                <c:pt idx="0">
                  <c:v>Micro-lending.</c:v>
                </c:pt>
                <c:pt idx="1">
                  <c:v>Removal of dilapidated houses through demolition.</c:v>
                </c:pt>
                <c:pt idx="2">
                  <c:v>Inclusion of street-scaping in public improvements.</c:v>
                </c:pt>
                <c:pt idx="3">
                  <c:v>Construction of bus shelters.</c:v>
                </c:pt>
                <c:pt idx="4">
                  <c:v>Construction of new affordable housing, owner and rental</c:v>
                </c:pt>
                <c:pt idx="5">
                  <c:v>Fair housing outreach and education to housing professionals.</c:v>
                </c:pt>
                <c:pt idx="6">
                  <c:v>Fair housing counseling</c:v>
                </c:pt>
                <c:pt idx="7">
                  <c:v>Fair housing outreach and education to low-income households.</c:v>
                </c:pt>
                <c:pt idx="8">
                  <c:v>Increased homeownership.</c:v>
                </c:pt>
                <c:pt idx="9">
                  <c:v>Construction of sidewalks, crosswalks, trails, etc…</c:v>
                </c:pt>
                <c:pt idx="10">
                  <c:v>Preservation of existing housing.</c:v>
                </c:pt>
                <c:pt idx="11">
                  <c:v>Affordable housing w/energy efficiency and UD.</c:v>
                </c:pt>
                <c:pt idx="12">
                  <c:v>Vocational Training.</c:v>
                </c:pt>
                <c:pt idx="13">
                  <c:v>Construction, expansion, renovation of non-profit/community facilities.</c:v>
                </c:pt>
              </c:strCache>
            </c:strRef>
          </c:cat>
          <c:val>
            <c:numRef>
              <c:f>'[Chart 2 in Microsoft Word]Survey'!$B$56:$B$69</c:f>
              <c:numCache>
                <c:formatCode>0.0%</c:formatCode>
                <c:ptCount val="14"/>
                <c:pt idx="0">
                  <c:v>0.251</c:v>
                </c:pt>
                <c:pt idx="1">
                  <c:v>0.28799999999999998</c:v>
                </c:pt>
                <c:pt idx="2">
                  <c:v>0.313</c:v>
                </c:pt>
                <c:pt idx="3">
                  <c:v>0.33800000000000002</c:v>
                </c:pt>
                <c:pt idx="4">
                  <c:v>0.35899999999999999</c:v>
                </c:pt>
                <c:pt idx="5">
                  <c:v>0.36499999999999999</c:v>
                </c:pt>
                <c:pt idx="6">
                  <c:v>0.377</c:v>
                </c:pt>
                <c:pt idx="7">
                  <c:v>0.41499999999999998</c:v>
                </c:pt>
                <c:pt idx="8">
                  <c:v>0.41599999999999998</c:v>
                </c:pt>
                <c:pt idx="9">
                  <c:v>0.46899999999999997</c:v>
                </c:pt>
                <c:pt idx="10">
                  <c:v>0.51400000000000001</c:v>
                </c:pt>
                <c:pt idx="11">
                  <c:v>0.57399999999999995</c:v>
                </c:pt>
                <c:pt idx="12">
                  <c:v>0.57599999999999996</c:v>
                </c:pt>
                <c:pt idx="13">
                  <c:v>0.57799999999999996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8"/>
        <c:axId val="147629840"/>
        <c:axId val="146873240"/>
      </c:barChart>
      <c:catAx>
        <c:axId val="147629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46873240"/>
        <c:crosses val="autoZero"/>
        <c:auto val="1"/>
        <c:lblAlgn val="ctr"/>
        <c:lblOffset val="100"/>
        <c:noMultiLvlLbl val="0"/>
      </c:catAx>
      <c:valAx>
        <c:axId val="146873240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476298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CDC</a:t>
            </a:r>
            <a:r>
              <a:rPr lang="en-US" baseline="0"/>
              <a:t> FY 2018 CDBG/HOME Proposal </a:t>
            </a:r>
          </a:p>
          <a:p>
            <a:pPr>
              <a:defRPr/>
            </a:pPr>
            <a:r>
              <a:rPr lang="en-US" baseline="0"/>
              <a:t>Average Commissioner Rating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'[CDC Review Ratings (10).xlsx]Summary List'!$A$2:$A$14</c:f>
              <c:strCache>
                <c:ptCount val="13"/>
                <c:pt idx="0">
                  <c:v>Family Health Center-Renovations</c:v>
                </c:pt>
                <c:pt idx="1">
                  <c:v>YEZ-Facility Construction</c:v>
                </c:pt>
                <c:pt idx="2">
                  <c:v>City of Columbia-Code Enforcement</c:v>
                </c:pt>
                <c:pt idx="3">
                  <c:v>Job Point-Facility Purchase</c:v>
                </c:pt>
                <c:pt idx="4">
                  <c:v>City of Columbia-Sidewalks</c:v>
                </c:pt>
                <c:pt idx="5">
                  <c:v>City of Columbia-Demolition/Acq.</c:v>
                </c:pt>
                <c:pt idx="6">
                  <c:v>Habitat-Boone Prairie</c:v>
                </c:pt>
                <c:pt idx="7">
                  <c:v>CMCA-Worley Early Learning</c:v>
                </c:pt>
                <c:pt idx="8">
                  <c:v>City of Columbia-Homebuyer Assist.</c:v>
                </c:pt>
                <c:pt idx="9">
                  <c:v>City of Columbia-Rehab &amp; Repair</c:v>
                </c:pt>
                <c:pt idx="10">
                  <c:v>Job Point-Training</c:v>
                </c:pt>
                <c:pt idx="11">
                  <c:v>SIL-Repair &amp; Accessibility</c:v>
                </c:pt>
                <c:pt idx="12">
                  <c:v>CHA-Bryant Walkway</c:v>
                </c:pt>
              </c:strCache>
            </c:strRef>
          </c:cat>
          <c:val>
            <c:numRef>
              <c:f>'[CDC Review Ratings (10).xlsx]Summary List'!$B$2:$B$14</c:f>
              <c:numCache>
                <c:formatCode>0.0</c:formatCode>
                <c:ptCount val="13"/>
                <c:pt idx="0">
                  <c:v>34.714285714285715</c:v>
                </c:pt>
                <c:pt idx="1">
                  <c:v>36.285714285714285</c:v>
                </c:pt>
                <c:pt idx="2">
                  <c:v>39.125</c:v>
                </c:pt>
                <c:pt idx="3">
                  <c:v>39.428571428571431</c:v>
                </c:pt>
                <c:pt idx="4">
                  <c:v>40.714285714285715</c:v>
                </c:pt>
                <c:pt idx="5">
                  <c:v>41.285714285714285</c:v>
                </c:pt>
                <c:pt idx="6">
                  <c:v>41.857142857142854</c:v>
                </c:pt>
                <c:pt idx="7">
                  <c:v>42.625</c:v>
                </c:pt>
                <c:pt idx="8">
                  <c:v>44.142857142857146</c:v>
                </c:pt>
                <c:pt idx="9">
                  <c:v>44.285714285714285</c:v>
                </c:pt>
                <c:pt idx="10">
                  <c:v>44.333333333333336</c:v>
                </c:pt>
                <c:pt idx="11">
                  <c:v>45.857142857142854</c:v>
                </c:pt>
                <c:pt idx="12">
                  <c:v>46.857142857142854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147838840"/>
        <c:axId val="147847416"/>
      </c:barChart>
      <c:catAx>
        <c:axId val="147838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7847416"/>
        <c:crosses val="autoZero"/>
        <c:auto val="1"/>
        <c:lblAlgn val="ctr"/>
        <c:lblOffset val="100"/>
        <c:noMultiLvlLbl val="0"/>
      </c:catAx>
      <c:valAx>
        <c:axId val="14784741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crossAx val="1478388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7AA7-E988-4EF4-A2B6-F09F1C28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L Cole</dc:creator>
  <cp:lastModifiedBy>KESIDES</cp:lastModifiedBy>
  <cp:revision>5</cp:revision>
  <cp:lastPrinted>2016-06-13T20:48:00Z</cp:lastPrinted>
  <dcterms:created xsi:type="dcterms:W3CDTF">2017-06-16T15:58:00Z</dcterms:created>
  <dcterms:modified xsi:type="dcterms:W3CDTF">2017-06-16T16:38:00Z</dcterms:modified>
</cp:coreProperties>
</file>