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961E01">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3-05T00:00:00Z">
            <w:dateFormat w:val="MMMM d, yyyy"/>
            <w:lid w:val="en-US"/>
            <w:storeMappedDataAs w:val="dateTime"/>
            <w:calendar w:val="gregorian"/>
          </w:date>
        </w:sdtPr>
        <w:sdtEndPr>
          <w:rPr>
            <w:rStyle w:val="DefaultParagraphFont"/>
            <w:rFonts w:ascii="Times New Roman" w:hAnsi="Times New Roman"/>
          </w:rPr>
        </w:sdtEndPr>
        <w:sdtContent>
          <w:r w:rsidR="001A294F">
            <w:rPr>
              <w:rStyle w:val="Style3"/>
            </w:rPr>
            <w:t>March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443119020"/>
              <w:placeholder>
                <w:docPart w:val="2CE58B1E62464E799480C6CC78EC39FC"/>
              </w:placeholder>
            </w:sdtPr>
            <w:sdtEndPr>
              <w:rPr>
                <w:rStyle w:val="Style3"/>
              </w:rPr>
            </w:sdtEndPr>
            <w:sdtContent>
              <w:r w:rsidR="00787DF3">
                <w:rPr>
                  <w:rFonts w:ascii="Century Gothic" w:eastAsia="Century Gothic" w:hAnsi="Century Gothic" w:cs="Century Gothic"/>
                </w:rPr>
                <w:t>Establish</w:t>
              </w:r>
              <w:r w:rsidR="005A6EFA">
                <w:rPr>
                  <w:rFonts w:ascii="Century Gothic" w:eastAsia="Century Gothic" w:hAnsi="Century Gothic" w:cs="Century Gothic"/>
                </w:rPr>
                <w:t xml:space="preserve">ing the </w:t>
              </w:r>
              <w:r w:rsidR="00D279F1">
                <w:rPr>
                  <w:rFonts w:ascii="Century Gothic" w:eastAsia="Century Gothic" w:hAnsi="Century Gothic" w:cs="Century Gothic"/>
                </w:rPr>
                <w:t>Integrated Electric Resource</w:t>
              </w:r>
              <w:r w:rsidR="00787DF3">
                <w:rPr>
                  <w:rFonts w:ascii="Century Gothic" w:eastAsia="Century Gothic" w:hAnsi="Century Gothic" w:cs="Century Gothic"/>
                </w:rPr>
                <w:t xml:space="preserve"> &amp; Master Planning Task Force</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019626915"/>
            <w:placeholder>
              <w:docPart w:val="AE4033DA955B4D92919F552BDCA87364"/>
            </w:placeholder>
          </w:sdtPr>
          <w:sdtEndPr/>
          <w:sdtContent>
            <w:p w:rsidR="00EB1A02" w:rsidRDefault="00787DF3">
              <w:pPr>
                <w:rPr>
                  <w:rFonts w:ascii="Century Gothic" w:hAnsi="Century Gothic"/>
                </w:rPr>
              </w:pPr>
              <w:r>
                <w:rPr>
                  <w:rFonts w:ascii="Century Gothic" w:eastAsia="Century Gothic" w:hAnsi="Century Gothic" w:cs="Century Gothic"/>
                </w:rPr>
                <w:t xml:space="preserve">Columbia’s Electric Utility is scheduled to conduct another Integrated Resource Plan in 2018. Based on revised electric load forecasts, staff is recommending that a new electric transmission and distribution system planning process be incorporated with the Integrated Electric Resource Plan. This proposed </w:t>
              </w:r>
              <w:r w:rsidR="00041939">
                <w:rPr>
                  <w:rFonts w:ascii="Century Gothic" w:eastAsia="Century Gothic" w:hAnsi="Century Gothic" w:cs="Century Gothic"/>
                </w:rPr>
                <w:t xml:space="preserve">Integrated Electric Resource &amp; Master Planning </w:t>
              </w:r>
              <w:r>
                <w:rPr>
                  <w:rFonts w:ascii="Century Gothic" w:eastAsia="Century Gothic" w:hAnsi="Century Gothic" w:cs="Century Gothic"/>
                </w:rPr>
                <w:t xml:space="preserve">process will replace all previous planning efforts regarding serving anticipated loads and meeting federal transmission planning requirements. It is proposed that a Task Force be created and appointed by council to interface with </w:t>
              </w:r>
              <w:r w:rsidR="00F454E0">
                <w:rPr>
                  <w:rFonts w:ascii="Century Gothic" w:eastAsia="Century Gothic" w:hAnsi="Century Gothic" w:cs="Century Gothic"/>
                </w:rPr>
                <w:t xml:space="preserve">this </w:t>
              </w:r>
              <w:r>
                <w:rPr>
                  <w:rFonts w:ascii="Century Gothic" w:eastAsia="Century Gothic" w:hAnsi="Century Gothic" w:cs="Century Gothic"/>
                </w:rPr>
                <w:t>planning process.</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787DF3" w:rsidRPr="00B6760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An Integrated Electric Resource Plan is a</w:t>
          </w:r>
          <w:r w:rsidR="00F454E0" w:rsidRPr="00B67603">
            <w:rPr>
              <w:rFonts w:ascii="Century Gothic" w:eastAsia="Century Gothic" w:hAnsi="Century Gothic" w:cs="Century Gothic"/>
            </w:rPr>
            <w:t>n approach</w:t>
          </w:r>
          <w:r w:rsidRPr="00B67603">
            <w:rPr>
              <w:rFonts w:ascii="Century Gothic" w:eastAsia="Century Gothic" w:hAnsi="Century Gothic" w:cs="Century Gothic"/>
            </w:rPr>
            <w:t xml:space="preserve"> to meet forecasted annual electric system peak and energy demand plus </w:t>
          </w:r>
          <w:r w:rsidR="00A93D9E" w:rsidRPr="00B67603">
            <w:rPr>
              <w:rFonts w:ascii="Century Gothic" w:eastAsia="Century Gothic" w:hAnsi="Century Gothic" w:cs="Century Gothic"/>
            </w:rPr>
            <w:t>an</w:t>
          </w:r>
          <w:r w:rsidRPr="00B67603">
            <w:rPr>
              <w:rFonts w:ascii="Century Gothic" w:eastAsia="Century Gothic" w:hAnsi="Century Gothic" w:cs="Century Gothic"/>
            </w:rPr>
            <w:t xml:space="preserve"> established reserve margin through a combination of supply-side and demand–side resources over a specified time period. </w:t>
          </w:r>
        </w:p>
        <w:p w:rsidR="00787DF3" w:rsidRPr="00B6760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Electric System Master Planning is regularly conducted by electric utilities and other load serving entities. Electric System Master Plans provide general guidance for the electric system improvements needed to maintain reliability and serve anticipated loads.</w:t>
          </w:r>
        </w:p>
        <w:p w:rsidR="00787DF3" w:rsidRPr="00B67603" w:rsidRDefault="00F454E0" w:rsidP="00787DF3">
          <w:pPr>
            <w:spacing w:after="240"/>
            <w:rPr>
              <w:rFonts w:ascii="Century Gothic" w:eastAsia="Century Gothic" w:hAnsi="Century Gothic" w:cs="Century Gothic"/>
            </w:rPr>
          </w:pPr>
          <w:r w:rsidRPr="00B67603">
            <w:rPr>
              <w:rFonts w:ascii="Century Gothic" w:eastAsia="Century Gothic" w:hAnsi="Century Gothic" w:cs="Century Gothic"/>
            </w:rPr>
            <w:t>R</w:t>
          </w:r>
          <w:r w:rsidR="00787DF3" w:rsidRPr="00B67603">
            <w:rPr>
              <w:rFonts w:ascii="Century Gothic" w:eastAsia="Century Gothic" w:hAnsi="Century Gothic" w:cs="Century Gothic"/>
            </w:rPr>
            <w:t>ecent load forecasts show a reduction in the forecasted rate of</w:t>
          </w:r>
          <w:r w:rsidR="00A93D9E" w:rsidRPr="00B67603">
            <w:rPr>
              <w:rFonts w:ascii="Century Gothic" w:eastAsia="Century Gothic" w:hAnsi="Century Gothic" w:cs="Century Gothic"/>
            </w:rPr>
            <w:t xml:space="preserve"> increase for</w:t>
          </w:r>
          <w:r w:rsidR="00787DF3" w:rsidRPr="00B67603">
            <w:rPr>
              <w:rFonts w:ascii="Century Gothic" w:eastAsia="Century Gothic" w:hAnsi="Century Gothic" w:cs="Century Gothic"/>
            </w:rPr>
            <w:t xml:space="preserve"> peak and energy demands. Based on these revised forecasts, staff is recommending that a new electric transmission and distribution system planning process be incorporated with the Integrated Electric Resource Plan. This proposed new planning process will replace all previous planning efforts regarding serving anticipated loads and meeting federal transmission planning requirements.</w:t>
          </w:r>
        </w:p>
        <w:p w:rsidR="00787DF3" w:rsidRPr="00B6760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 xml:space="preserve">At this time staff is proposing </w:t>
          </w:r>
          <w:r w:rsidR="00D279F1" w:rsidRPr="00B67603">
            <w:rPr>
              <w:rFonts w:ascii="Century Gothic" w:eastAsia="Century Gothic" w:hAnsi="Century Gothic" w:cs="Century Gothic"/>
            </w:rPr>
            <w:t>an Integrated Electric Resource</w:t>
          </w:r>
          <w:r w:rsidRPr="00B67603">
            <w:rPr>
              <w:rFonts w:ascii="Century Gothic" w:eastAsia="Century Gothic" w:hAnsi="Century Gothic" w:cs="Century Gothic"/>
            </w:rPr>
            <w:t xml:space="preserve"> &amp; Master Plan to represent this combined planning effort.</w:t>
          </w:r>
        </w:p>
        <w:p w:rsidR="00787DF3" w:rsidRPr="00B6760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The purpose of th</w:t>
          </w:r>
          <w:r w:rsidR="00D279F1" w:rsidRPr="00B67603">
            <w:rPr>
              <w:rFonts w:ascii="Century Gothic" w:eastAsia="Century Gothic" w:hAnsi="Century Gothic" w:cs="Century Gothic"/>
            </w:rPr>
            <w:t>is Integrated Electric Resource</w:t>
          </w:r>
          <w:r w:rsidRPr="00B67603">
            <w:rPr>
              <w:rFonts w:ascii="Century Gothic" w:eastAsia="Century Gothic" w:hAnsi="Century Gothic" w:cs="Century Gothic"/>
            </w:rPr>
            <w:t xml:space="preserve"> &amp; Master Plan for Columbia’s electric utility is to provide general guidance in planning to meet forecasted annual peak and energy demand, maintain reliability, and serve anticipated loads through a combination of supply-side, demand–side, distribution and transmission resources over a specified time period.</w:t>
          </w:r>
        </w:p>
        <w:p w:rsidR="00787DF3" w:rsidRPr="00B6760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T</w:t>
          </w:r>
          <w:r w:rsidR="00D279F1" w:rsidRPr="00B67603">
            <w:rPr>
              <w:rFonts w:ascii="Century Gothic" w:eastAsia="Century Gothic" w:hAnsi="Century Gothic" w:cs="Century Gothic"/>
            </w:rPr>
            <w:t>he Integrated Electric Resource</w:t>
          </w:r>
          <w:r w:rsidRPr="00B67603">
            <w:rPr>
              <w:rFonts w:ascii="Century Gothic" w:eastAsia="Century Gothic" w:hAnsi="Century Gothic" w:cs="Century Gothic"/>
            </w:rPr>
            <w:t xml:space="preserve"> &amp; Master Plan will review major activities, system events, system improvements that occurred during past planning cycles, the existing electric system and proposed electric system projects related to generation, transmission, substation and distribution improvements.</w:t>
          </w:r>
        </w:p>
        <w:p w:rsidR="005A6EFA" w:rsidRPr="00B67603" w:rsidRDefault="005A6EFA" w:rsidP="005A6EFA">
          <w:pPr>
            <w:rPr>
              <w:rFonts w:ascii="Century Gothic" w:eastAsia="Century Gothic" w:hAnsi="Century Gothic" w:cs="Century Gothic"/>
            </w:rPr>
          </w:pPr>
          <w:r w:rsidRPr="00B67603">
            <w:rPr>
              <w:rFonts w:ascii="Century Gothic" w:eastAsia="Century Gothic" w:hAnsi="Century Gothic" w:cs="Century Gothic"/>
            </w:rPr>
            <w:lastRenderedPageBreak/>
            <w:t>City Staff proposes creating t</w:t>
          </w:r>
          <w:r w:rsidR="00D279F1" w:rsidRPr="00B67603">
            <w:rPr>
              <w:rFonts w:ascii="Century Gothic" w:eastAsia="Century Gothic" w:hAnsi="Century Gothic" w:cs="Century Gothic"/>
            </w:rPr>
            <w:t>he Integrated Electric Resource</w:t>
          </w:r>
          <w:r w:rsidRPr="00B67603">
            <w:rPr>
              <w:rFonts w:ascii="Century Gothic" w:eastAsia="Century Gothic" w:hAnsi="Century Gothic" w:cs="Century Gothic"/>
            </w:rPr>
            <w:t xml:space="preserve"> &amp; Master Plan Task Force consisting of a broad stakeholder group for the following purposes:</w:t>
          </w:r>
        </w:p>
        <w:p w:rsidR="00B67603" w:rsidRPr="00B67603" w:rsidRDefault="00B6760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hAnsi="Century Gothic" w:cs="Arial"/>
              <w:bCs/>
            </w:rPr>
            <w:t>Assist City staff in the planning process associated with the preparation of an updated Integrated Electric Resource and Master Plan in 2018.</w:t>
          </w:r>
        </w:p>
        <w:p w:rsidR="00787DF3" w:rsidRPr="00B67603" w:rsidRDefault="00787DF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Ensure public participation throughout the process</w:t>
          </w:r>
        </w:p>
        <w:p w:rsidR="00787DF3" w:rsidRPr="00B67603" w:rsidRDefault="00787DF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Forecast capital needs based on:</w:t>
          </w:r>
        </w:p>
        <w:p w:rsidR="00787DF3" w:rsidRPr="00B67603" w:rsidRDefault="00787DF3" w:rsidP="00787DF3">
          <w:pPr>
            <w:numPr>
              <w:ilvl w:val="1"/>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Capacity requirements</w:t>
          </w:r>
        </w:p>
        <w:p w:rsidR="00787DF3" w:rsidRPr="00B67603" w:rsidRDefault="00787DF3" w:rsidP="00787DF3">
          <w:pPr>
            <w:numPr>
              <w:ilvl w:val="1"/>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System reliability</w:t>
          </w:r>
        </w:p>
        <w:p w:rsidR="00787DF3" w:rsidRPr="00B67603" w:rsidRDefault="00787DF3" w:rsidP="00787DF3">
          <w:pPr>
            <w:numPr>
              <w:ilvl w:val="1"/>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Economic viability</w:t>
          </w:r>
        </w:p>
        <w:p w:rsidR="00787DF3" w:rsidRPr="00B67603" w:rsidRDefault="00787DF3" w:rsidP="00787DF3">
          <w:pPr>
            <w:numPr>
              <w:ilvl w:val="1"/>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Customer satisfaction</w:t>
          </w:r>
        </w:p>
        <w:p w:rsidR="00787DF3" w:rsidRPr="00B67603" w:rsidRDefault="00787DF3" w:rsidP="00787DF3">
          <w:pPr>
            <w:numPr>
              <w:ilvl w:val="1"/>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Stakeholder needs.</w:t>
          </w:r>
        </w:p>
        <w:p w:rsidR="00787DF3" w:rsidRPr="00B67603" w:rsidRDefault="00B6760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Review the p</w:t>
          </w:r>
          <w:r w:rsidR="00787DF3" w:rsidRPr="00B67603">
            <w:rPr>
              <w:rFonts w:ascii="Century Gothic" w:eastAsia="Century Gothic" w:hAnsi="Century Gothic" w:cs="Century Gothic"/>
            </w:rPr>
            <w:t>lan for continued compliance with established Electric System Planning criteria.</w:t>
          </w:r>
        </w:p>
        <w:p w:rsidR="00787DF3" w:rsidRPr="00B67603" w:rsidRDefault="00B6760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Assist staff in d</w:t>
          </w:r>
          <w:r w:rsidR="00787DF3" w:rsidRPr="00B67603">
            <w:rPr>
              <w:rFonts w:ascii="Century Gothic" w:eastAsia="Century Gothic" w:hAnsi="Century Gothic" w:cs="Century Gothic"/>
            </w:rPr>
            <w:t>evelop</w:t>
          </w:r>
          <w:r w:rsidRPr="00B67603">
            <w:rPr>
              <w:rFonts w:ascii="Century Gothic" w:eastAsia="Century Gothic" w:hAnsi="Century Gothic" w:cs="Century Gothic"/>
            </w:rPr>
            <w:t>ing</w:t>
          </w:r>
          <w:r w:rsidR="00787DF3" w:rsidRPr="00B67603">
            <w:rPr>
              <w:rFonts w:ascii="Century Gothic" w:eastAsia="Century Gothic" w:hAnsi="Century Gothic" w:cs="Century Gothic"/>
            </w:rPr>
            <w:t xml:space="preserve"> </w:t>
          </w:r>
          <w:r w:rsidR="00A93D9E" w:rsidRPr="00B67603">
            <w:rPr>
              <w:rFonts w:ascii="Century Gothic" w:eastAsia="Century Gothic" w:hAnsi="Century Gothic" w:cs="Century Gothic"/>
            </w:rPr>
            <w:t>demand side</w:t>
          </w:r>
          <w:r w:rsidR="00787DF3" w:rsidRPr="00B67603">
            <w:rPr>
              <w:rFonts w:ascii="Century Gothic" w:eastAsia="Century Gothic" w:hAnsi="Century Gothic" w:cs="Century Gothic"/>
            </w:rPr>
            <w:t xml:space="preserve"> and capital programs which implement strategic goals and initiatives.</w:t>
          </w:r>
        </w:p>
        <w:p w:rsidR="00787DF3" w:rsidRPr="00B67603" w:rsidRDefault="00B67603" w:rsidP="00787DF3">
          <w:pPr>
            <w:numPr>
              <w:ilvl w:val="0"/>
              <w:numId w:val="2"/>
            </w:numPr>
            <w:pBdr>
              <w:top w:val="nil"/>
              <w:left w:val="nil"/>
              <w:bottom w:val="nil"/>
              <w:right w:val="nil"/>
              <w:between w:val="nil"/>
            </w:pBdr>
            <w:spacing w:line="259" w:lineRule="auto"/>
            <w:contextualSpacing/>
            <w:rPr>
              <w:rFonts w:ascii="Century Gothic" w:hAnsi="Century Gothic"/>
            </w:rPr>
          </w:pPr>
          <w:r w:rsidRPr="00B67603">
            <w:rPr>
              <w:rFonts w:ascii="Century Gothic" w:eastAsia="Century Gothic" w:hAnsi="Century Gothic" w:cs="Century Gothic"/>
            </w:rPr>
            <w:t>Assist staff in identifying</w:t>
          </w:r>
          <w:r w:rsidR="00787DF3" w:rsidRPr="00B67603">
            <w:rPr>
              <w:rFonts w:ascii="Century Gothic" w:eastAsia="Century Gothic" w:hAnsi="Century Gothic" w:cs="Century Gothic"/>
            </w:rPr>
            <w:t xml:space="preserve"> specific generation, transmission, substation, and distribution system improvement projects, budgets and schedules.</w:t>
          </w:r>
        </w:p>
        <w:p w:rsidR="00787DF3" w:rsidRPr="00B67603" w:rsidRDefault="00B67603" w:rsidP="00787DF3">
          <w:pPr>
            <w:numPr>
              <w:ilvl w:val="0"/>
              <w:numId w:val="2"/>
            </w:numPr>
            <w:pBdr>
              <w:top w:val="nil"/>
              <w:left w:val="nil"/>
              <w:bottom w:val="nil"/>
              <w:right w:val="nil"/>
              <w:between w:val="nil"/>
            </w:pBdr>
            <w:spacing w:after="240" w:line="259" w:lineRule="auto"/>
            <w:contextualSpacing/>
            <w:rPr>
              <w:rFonts w:ascii="Century Gothic" w:hAnsi="Century Gothic"/>
            </w:rPr>
          </w:pPr>
          <w:r w:rsidRPr="00B67603">
            <w:rPr>
              <w:rFonts w:ascii="Century Gothic" w:eastAsia="Century Gothic" w:hAnsi="Century Gothic" w:cs="Century Gothic"/>
            </w:rPr>
            <w:t>Assist staff in identifying</w:t>
          </w:r>
          <w:r w:rsidR="00787DF3" w:rsidRPr="00B67603">
            <w:rPr>
              <w:rFonts w:ascii="Century Gothic" w:eastAsia="Century Gothic" w:hAnsi="Century Gothic" w:cs="Century Gothic"/>
            </w:rPr>
            <w:t xml:space="preserve"> long range property and right-of-way acquisition requirements.</w:t>
          </w:r>
        </w:p>
        <w:p w:rsidR="00B67603" w:rsidRPr="00B67603" w:rsidRDefault="00B67603" w:rsidP="00787DF3">
          <w:pPr>
            <w:numPr>
              <w:ilvl w:val="0"/>
              <w:numId w:val="2"/>
            </w:numPr>
            <w:pBdr>
              <w:top w:val="nil"/>
              <w:left w:val="nil"/>
              <w:bottom w:val="nil"/>
              <w:right w:val="nil"/>
              <w:between w:val="nil"/>
            </w:pBdr>
            <w:spacing w:after="240" w:line="259" w:lineRule="auto"/>
            <w:contextualSpacing/>
            <w:rPr>
              <w:rFonts w:ascii="Century Gothic" w:hAnsi="Century Gothic"/>
            </w:rPr>
          </w:pPr>
          <w:r w:rsidRPr="00B67603">
            <w:rPr>
              <w:rFonts w:ascii="Century Gothic" w:eastAsia="Century Gothic" w:hAnsi="Century Gothic" w:cs="Century Gothic"/>
            </w:rPr>
            <w:t>Any other matters referred to the Task Force by the City Council.</w:t>
          </w:r>
        </w:p>
        <w:p w:rsidR="00041939" w:rsidRPr="00B67603" w:rsidRDefault="00041939" w:rsidP="00041939">
          <w:pPr>
            <w:pBdr>
              <w:top w:val="nil"/>
              <w:left w:val="nil"/>
              <w:bottom w:val="nil"/>
              <w:right w:val="nil"/>
              <w:between w:val="nil"/>
            </w:pBdr>
            <w:spacing w:after="240" w:line="259" w:lineRule="auto"/>
            <w:contextualSpacing/>
            <w:rPr>
              <w:rFonts w:ascii="Century Gothic" w:hAnsi="Century Gothic"/>
            </w:rPr>
          </w:pPr>
        </w:p>
        <w:p w:rsidR="005A6EFA" w:rsidRPr="00B67603" w:rsidRDefault="00787DF3" w:rsidP="005A6EFA">
          <w:pPr>
            <w:spacing w:after="240"/>
            <w:rPr>
              <w:rFonts w:ascii="Century Gothic" w:eastAsia="Century Gothic" w:hAnsi="Century Gothic" w:cs="Century Gothic"/>
            </w:rPr>
          </w:pPr>
          <w:r w:rsidRPr="00B67603">
            <w:rPr>
              <w:rFonts w:ascii="Century Gothic" w:eastAsia="Century Gothic" w:hAnsi="Century Gothic" w:cs="Century Gothic"/>
            </w:rPr>
            <w:t xml:space="preserve">To support the goal of public participation throughout the process, staff is proposing that </w:t>
          </w:r>
          <w:r w:rsidR="00041939" w:rsidRPr="00B67603">
            <w:rPr>
              <w:rFonts w:ascii="Century Gothic" w:eastAsia="Century Gothic" w:hAnsi="Century Gothic" w:cs="Century Gothic"/>
            </w:rPr>
            <w:t>the</w:t>
          </w:r>
          <w:r w:rsidRPr="00B67603">
            <w:rPr>
              <w:rFonts w:ascii="Century Gothic" w:eastAsia="Century Gothic" w:hAnsi="Century Gothic" w:cs="Century Gothic"/>
            </w:rPr>
            <w:t xml:space="preserve"> first step would be for </w:t>
          </w:r>
          <w:r w:rsidR="00D279F1" w:rsidRPr="00B67603">
            <w:rPr>
              <w:rFonts w:ascii="Century Gothic" w:eastAsia="Century Gothic" w:hAnsi="Century Gothic" w:cs="Century Gothic"/>
            </w:rPr>
            <w:t>an Integrated Electric Resource</w:t>
          </w:r>
          <w:r w:rsidRPr="00B67603">
            <w:rPr>
              <w:rFonts w:ascii="Century Gothic" w:eastAsia="Century Gothic" w:hAnsi="Century Gothic" w:cs="Century Gothic"/>
            </w:rPr>
            <w:t xml:space="preserve"> &amp; Master Plan Task Force </w:t>
          </w:r>
          <w:r w:rsidR="00041939" w:rsidRPr="00B67603">
            <w:rPr>
              <w:rFonts w:ascii="Century Gothic" w:eastAsia="Century Gothic" w:hAnsi="Century Gothic" w:cs="Century Gothic"/>
            </w:rPr>
            <w:t xml:space="preserve">to </w:t>
          </w:r>
          <w:r w:rsidRPr="00B67603">
            <w:rPr>
              <w:rFonts w:ascii="Century Gothic" w:eastAsia="Century Gothic" w:hAnsi="Century Gothic" w:cs="Century Gothic"/>
            </w:rPr>
            <w:t>be created. The intent is for this Task Force to be involved in the planning throughout the entire process starting with developing a scope of services for selection of a consultant to</w:t>
          </w:r>
          <w:r w:rsidR="005A6EFA" w:rsidRPr="00B67603">
            <w:rPr>
              <w:rFonts w:ascii="Century Gothic" w:eastAsia="Century Gothic" w:hAnsi="Century Gothic" w:cs="Century Gothic"/>
            </w:rPr>
            <w:t xml:space="preserve"> support this planning process.</w:t>
          </w:r>
          <w:r w:rsidR="00961E01" w:rsidRPr="00B67603">
            <w:rPr>
              <w:rFonts w:ascii="Century Gothic" w:eastAsia="Century Gothic" w:hAnsi="Century Gothic" w:cs="Century Gothic"/>
            </w:rPr>
            <w:t xml:space="preserve"> Upon completion of </w:t>
          </w:r>
          <w:r w:rsidR="00D279F1" w:rsidRPr="00B67603">
            <w:rPr>
              <w:rFonts w:ascii="Century Gothic" w:eastAsia="Century Gothic" w:hAnsi="Century Gothic" w:cs="Century Gothic"/>
            </w:rPr>
            <w:t>the Integrated Electric Resource</w:t>
          </w:r>
          <w:r w:rsidR="00961E01" w:rsidRPr="00B67603">
            <w:rPr>
              <w:rFonts w:ascii="Century Gothic" w:eastAsia="Century Gothic" w:hAnsi="Century Gothic" w:cs="Century Gothic"/>
            </w:rPr>
            <w:t xml:space="preserve"> &amp; Master Plan the Task Force would be dissolved.</w:t>
          </w:r>
        </w:p>
        <w:p w:rsidR="005A6EFA" w:rsidRPr="00B67603" w:rsidRDefault="005A6EFA" w:rsidP="00041939">
          <w:pPr>
            <w:rPr>
              <w:rFonts w:ascii="Century Gothic" w:eastAsia="Century Gothic" w:hAnsi="Century Gothic" w:cs="Century Gothic"/>
            </w:rPr>
          </w:pPr>
          <w:r w:rsidRPr="00B67603">
            <w:rPr>
              <w:rFonts w:ascii="Century Gothic" w:eastAsia="Century Gothic" w:hAnsi="Century Gothic" w:cs="Century Gothic"/>
            </w:rPr>
            <w:t xml:space="preserve">City Staff proposes the following stakeholder groups be considered to serve on a City Council appointed </w:t>
          </w:r>
          <w:r w:rsidR="00B67603" w:rsidRPr="00B67603">
            <w:rPr>
              <w:rFonts w:ascii="Century Gothic" w:eastAsia="Century Gothic" w:hAnsi="Century Gothic" w:cs="Century Gothic"/>
            </w:rPr>
            <w:t>Integrated Electric Resource &amp; Master Plan Task Force</w:t>
          </w:r>
          <w:r w:rsidRPr="00B67603">
            <w:rPr>
              <w:rFonts w:ascii="Century Gothic" w:eastAsia="Century Gothic" w:hAnsi="Century Gothic" w:cs="Century Gothic"/>
            </w:rPr>
            <w:t>:</w:t>
          </w:r>
        </w:p>
        <w:p w:rsidR="00787DF3" w:rsidRPr="00B67603" w:rsidRDefault="00B67603" w:rsidP="005A6EFA">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hAnsi="Century Gothic" w:cs="Arial"/>
            </w:rPr>
            <w:t>Five (5) members from the Water and Light Advisory Board</w:t>
          </w:r>
        </w:p>
        <w:p w:rsidR="00B67603" w:rsidRPr="00B67603" w:rsidRDefault="00B67603" w:rsidP="005A6EFA">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hAnsi="Century Gothic" w:cs="Arial"/>
            </w:rPr>
            <w:t>One (1) member from the Board of Health, appointed by the chair of such Board.</w:t>
          </w:r>
        </w:p>
        <w:p w:rsidR="00B67603" w:rsidRPr="00B67603" w:rsidRDefault="00B67603" w:rsidP="005A6EFA">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bookmarkStart w:id="1" w:name="_gjdgxs" w:colFirst="0" w:colLast="0"/>
          <w:bookmarkEnd w:id="1"/>
          <w:r w:rsidRPr="00B67603">
            <w:rPr>
              <w:rFonts w:ascii="Century Gothic" w:hAnsi="Century Gothic" w:cs="Arial"/>
            </w:rPr>
            <w:t>One (1) member representative of the University of Missouri, appointed by the University of Missouri administration.</w:t>
          </w:r>
        </w:p>
        <w:p w:rsidR="00B67603" w:rsidRPr="00B67603" w:rsidRDefault="00B67603" w:rsidP="005A6EFA">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hAnsi="Century Gothic" w:cs="Arial"/>
            </w:rPr>
            <w:t xml:space="preserve">One (1) member representative of </w:t>
          </w:r>
          <w:r w:rsidRPr="00B67603">
            <w:rPr>
              <w:rFonts w:ascii="Century Gothic" w:hAnsi="Century Gothic"/>
            </w:rPr>
            <w:t>the Columbia Public School District, appointed by the Columbia Public School District administration</w:t>
          </w:r>
          <w:r w:rsidRPr="00B67603">
            <w:rPr>
              <w:rFonts w:ascii="Century Gothic" w:eastAsia="Century Gothic" w:hAnsi="Century Gothic" w:cs="Century Gothic"/>
            </w:rPr>
            <w:t xml:space="preserve"> </w:t>
          </w:r>
        </w:p>
        <w:p w:rsidR="00B67603" w:rsidRPr="00B67603" w:rsidRDefault="00B67603" w:rsidP="00B67603">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hAnsi="Century Gothic" w:cs="Arial"/>
            </w:rPr>
            <w:t>Five (5) members representing a diverse cross-section of individuals and service providers, appointed by the City Council from the following groups:</w:t>
          </w:r>
        </w:p>
        <w:p w:rsidR="00787DF3" w:rsidRPr="00B67603" w:rsidRDefault="00787DF3" w:rsidP="005A6EFA">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t>Residential Customer</w:t>
          </w:r>
        </w:p>
        <w:p w:rsidR="00787DF3" w:rsidRPr="00B67603" w:rsidRDefault="00787DF3" w:rsidP="005A6EFA">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t>Commercial Customer</w:t>
          </w:r>
        </w:p>
        <w:p w:rsidR="00787DF3" w:rsidRPr="00B67603" w:rsidRDefault="00787DF3" w:rsidP="005A6EFA">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t>Industrial Customer</w:t>
          </w:r>
        </w:p>
        <w:p w:rsidR="00787DF3" w:rsidRPr="00B67603" w:rsidRDefault="00787DF3" w:rsidP="005A6EFA">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t>Columbia Board of Health</w:t>
          </w:r>
        </w:p>
        <w:p w:rsidR="00787DF3" w:rsidRPr="00B67603" w:rsidRDefault="00787DF3" w:rsidP="005A6EFA">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t>Environmental Stakeholder</w:t>
          </w:r>
        </w:p>
        <w:p w:rsidR="00A3177C" w:rsidRPr="00B67603" w:rsidRDefault="00A3177C" w:rsidP="00A3177C">
          <w:pPr>
            <w:numPr>
              <w:ilvl w:val="1"/>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eastAsia="Century Gothic" w:hAnsi="Century Gothic" w:cs="Century Gothic"/>
            </w:rPr>
            <w:lastRenderedPageBreak/>
            <w:t>Neighboring Utilities</w:t>
          </w:r>
        </w:p>
        <w:p w:rsidR="00041939" w:rsidRPr="00B67603" w:rsidRDefault="00B67603" w:rsidP="00B67603">
          <w:pPr>
            <w:numPr>
              <w:ilvl w:val="0"/>
              <w:numId w:val="4"/>
            </w:numPr>
            <w:pBdr>
              <w:top w:val="nil"/>
              <w:left w:val="nil"/>
              <w:bottom w:val="nil"/>
              <w:right w:val="nil"/>
              <w:between w:val="nil"/>
            </w:pBdr>
            <w:spacing w:line="259" w:lineRule="auto"/>
            <w:contextualSpacing/>
            <w:rPr>
              <w:rFonts w:ascii="Century Gothic" w:eastAsia="Century Gothic" w:hAnsi="Century Gothic" w:cs="Century Gothic"/>
            </w:rPr>
          </w:pPr>
          <w:r w:rsidRPr="00B67603">
            <w:rPr>
              <w:rFonts w:ascii="Century Gothic" w:hAnsi="Century Gothic" w:cs="Arial"/>
            </w:rPr>
            <w:t>Two (2) ad hoc non-voting members from the Office of Sustainability and the Department of Community Development, appointed by the City Manager.</w:t>
          </w:r>
        </w:p>
        <w:p w:rsidR="00787DF3" w:rsidRPr="00B67603" w:rsidRDefault="00787DF3" w:rsidP="00041939">
          <w:pPr>
            <w:spacing w:before="240" w:after="240"/>
            <w:rPr>
              <w:rFonts w:ascii="Century Gothic" w:eastAsia="Century Gothic" w:hAnsi="Century Gothic" w:cs="Century Gothic"/>
            </w:rPr>
          </w:pPr>
          <w:r w:rsidRPr="00B67603">
            <w:rPr>
              <w:rFonts w:ascii="Century Gothic" w:eastAsia="Century Gothic" w:hAnsi="Century Gothic" w:cs="Century Gothic"/>
            </w:rPr>
            <w:t>The planning period typically used in the past has been a 20 year planning horizon. An objective of th</w:t>
          </w:r>
          <w:r w:rsidR="00D279F1" w:rsidRPr="00B67603">
            <w:rPr>
              <w:rFonts w:ascii="Century Gothic" w:eastAsia="Century Gothic" w:hAnsi="Century Gothic" w:cs="Century Gothic"/>
            </w:rPr>
            <w:t>is Integrated Electric Resource</w:t>
          </w:r>
          <w:r w:rsidRPr="00B67603">
            <w:rPr>
              <w:rFonts w:ascii="Century Gothic" w:eastAsia="Century Gothic" w:hAnsi="Century Gothic" w:cs="Century Gothic"/>
            </w:rPr>
            <w:t xml:space="preserve"> &amp; Master Plan should be to document studies performed and decisions made as part of past planning processes. T</w:t>
          </w:r>
          <w:r w:rsidR="00D279F1" w:rsidRPr="00B67603">
            <w:rPr>
              <w:rFonts w:ascii="Century Gothic" w:eastAsia="Century Gothic" w:hAnsi="Century Gothic" w:cs="Century Gothic"/>
            </w:rPr>
            <w:t>he Integrated Electric Resource</w:t>
          </w:r>
          <w:r w:rsidRPr="00B67603">
            <w:rPr>
              <w:rFonts w:ascii="Century Gothic" w:eastAsia="Century Gothic" w:hAnsi="Century Gothic" w:cs="Century Gothic"/>
            </w:rPr>
            <w:t xml:space="preserve"> &amp; Master Planning process is intended to provide an opportunity for electric system planners to address complex issues in a structured, inclusive and transparent manner and at the same time provide an opportunity for interested parties both inside and outside the planning area to review, understand and provide input to planning decisions. </w:t>
          </w:r>
        </w:p>
        <w:p w:rsidR="002166E3" w:rsidRDefault="00787DF3" w:rsidP="00787DF3">
          <w:pPr>
            <w:spacing w:after="240"/>
            <w:rPr>
              <w:rFonts w:ascii="Century Gothic" w:eastAsia="Century Gothic" w:hAnsi="Century Gothic" w:cs="Century Gothic"/>
            </w:rPr>
          </w:pPr>
          <w:r w:rsidRPr="00B67603">
            <w:rPr>
              <w:rFonts w:ascii="Century Gothic" w:eastAsia="Century Gothic" w:hAnsi="Century Gothic" w:cs="Century Gothic"/>
            </w:rPr>
            <w:t>Coordination with development of the Climate Action Plan is an important internal issue that will need to be supported. Having these two processes running together should provide an opportunity for the beneficial exchange of useful information. The Integrated Electric Resou</w:t>
          </w:r>
          <w:r w:rsidR="00D279F1" w:rsidRPr="00B67603">
            <w:rPr>
              <w:rFonts w:ascii="Century Gothic" w:eastAsia="Century Gothic" w:hAnsi="Century Gothic" w:cs="Century Gothic"/>
            </w:rPr>
            <w:t>rce</w:t>
          </w:r>
          <w:r w:rsidRPr="00B67603">
            <w:rPr>
              <w:rFonts w:ascii="Century Gothic" w:eastAsia="Century Gothic" w:hAnsi="Century Gothic" w:cs="Century Gothic"/>
            </w:rPr>
            <w:t xml:space="preserve"> &amp; Master Plan report is intended to develop options for environmentally sound power supply strategies which provide reliable electric service at th</w:t>
          </w:r>
          <w:r>
            <w:rPr>
              <w:rFonts w:ascii="Century Gothic" w:eastAsia="Century Gothic" w:hAnsi="Century Gothic" w:cs="Century Gothic"/>
            </w:rPr>
            <w:t>e lowest practical cost and recommend st</w:t>
          </w:r>
          <w:r w:rsidR="002166E3">
            <w:rPr>
              <w:rFonts w:ascii="Century Gothic" w:eastAsia="Century Gothic" w:hAnsi="Century Gothic" w:cs="Century Gothic"/>
            </w:rPr>
            <w:t>eps for implementation.</w:t>
          </w:r>
        </w:p>
        <w:p w:rsidR="00787DF3" w:rsidRPr="00961E01" w:rsidRDefault="002166E3" w:rsidP="002166E3">
          <w:pPr>
            <w:rPr>
              <w:rFonts w:ascii="Century Gothic" w:eastAsia="Century Gothic" w:hAnsi="Century Gothic" w:cs="Century Gothic"/>
            </w:rPr>
          </w:pPr>
          <w:r>
            <w:rPr>
              <w:rFonts w:ascii="Century Gothic" w:eastAsia="Century Gothic" w:hAnsi="Century Gothic" w:cs="Century Gothic"/>
            </w:rPr>
            <w:t>Remaining</w:t>
          </w:r>
          <w:r w:rsidR="00787DF3">
            <w:rPr>
              <w:rFonts w:ascii="Century Gothic" w:eastAsia="Century Gothic" w:hAnsi="Century Gothic" w:cs="Century Gothic"/>
            </w:rPr>
            <w:t xml:space="preserve"> </w:t>
          </w:r>
          <w:r w:rsidR="00A93D9E">
            <w:rPr>
              <w:rFonts w:ascii="Century Gothic" w:eastAsia="Century Gothic" w:hAnsi="Century Gothic" w:cs="Century Gothic"/>
              <w:color w:val="000000"/>
            </w:rPr>
            <w:t>activities</w:t>
          </w:r>
          <w:r w:rsidR="00787DF3" w:rsidRPr="00961E01">
            <w:rPr>
              <w:rFonts w:ascii="Century Gothic" w:eastAsia="Century Gothic" w:hAnsi="Century Gothic" w:cs="Century Gothic"/>
              <w:color w:val="000000"/>
            </w:rPr>
            <w:t xml:space="preserve"> </w:t>
          </w:r>
          <w:r w:rsidRPr="00961E01">
            <w:rPr>
              <w:rFonts w:ascii="Century Gothic" w:eastAsia="Century Gothic" w:hAnsi="Century Gothic" w:cs="Century Gothic"/>
              <w:color w:val="000000"/>
            </w:rPr>
            <w:t xml:space="preserve">that will </w:t>
          </w:r>
          <w:r w:rsidR="00A93D9E">
            <w:rPr>
              <w:rFonts w:ascii="Century Gothic" w:eastAsia="Century Gothic" w:hAnsi="Century Gothic" w:cs="Century Gothic"/>
              <w:color w:val="000000"/>
            </w:rPr>
            <w:t xml:space="preserve">need </w:t>
          </w:r>
          <w:r w:rsidRPr="00961E01">
            <w:rPr>
              <w:rFonts w:ascii="Century Gothic" w:eastAsia="Century Gothic" w:hAnsi="Century Gothic" w:cs="Century Gothic"/>
              <w:color w:val="000000"/>
            </w:rPr>
            <w:t xml:space="preserve">to </w:t>
          </w:r>
          <w:r w:rsidR="00787DF3" w:rsidRPr="00961E01">
            <w:rPr>
              <w:rFonts w:ascii="Century Gothic" w:eastAsia="Century Gothic" w:hAnsi="Century Gothic" w:cs="Century Gothic"/>
              <w:color w:val="000000"/>
            </w:rPr>
            <w:t>be complete</w:t>
          </w:r>
          <w:r w:rsidRPr="00961E01">
            <w:rPr>
              <w:rFonts w:ascii="Century Gothic" w:eastAsia="Century Gothic" w:hAnsi="Century Gothic" w:cs="Century Gothic"/>
              <w:color w:val="000000"/>
            </w:rPr>
            <w:t>d</w:t>
          </w:r>
          <w:r w:rsidR="00787DF3" w:rsidRPr="00961E01">
            <w:rPr>
              <w:rFonts w:ascii="Century Gothic" w:eastAsia="Century Gothic" w:hAnsi="Century Gothic" w:cs="Century Gothic"/>
              <w:color w:val="000000"/>
            </w:rPr>
            <w:t xml:space="preserve"> </w:t>
          </w:r>
          <w:r w:rsidRPr="00961E01">
            <w:rPr>
              <w:rFonts w:ascii="Century Gothic" w:eastAsia="Century Gothic" w:hAnsi="Century Gothic" w:cs="Century Gothic"/>
              <w:color w:val="000000"/>
            </w:rPr>
            <w:t xml:space="preserve">after </w:t>
          </w:r>
          <w:r w:rsidR="00F454E0">
            <w:rPr>
              <w:rFonts w:ascii="Century Gothic" w:eastAsia="Century Gothic" w:hAnsi="Century Gothic" w:cs="Century Gothic"/>
              <w:color w:val="000000"/>
            </w:rPr>
            <w:t xml:space="preserve">finalizing </w:t>
          </w:r>
          <w:r w:rsidRPr="00961E01">
            <w:rPr>
              <w:rFonts w:ascii="Century Gothic" w:eastAsia="Century Gothic" w:hAnsi="Century Gothic" w:cs="Century Gothic"/>
              <w:color w:val="000000"/>
            </w:rPr>
            <w:t>t</w:t>
          </w:r>
          <w:r w:rsidR="00787DF3" w:rsidRPr="00961E01">
            <w:rPr>
              <w:rFonts w:ascii="Century Gothic" w:eastAsia="Century Gothic" w:hAnsi="Century Gothic" w:cs="Century Gothic"/>
              <w:color w:val="000000"/>
            </w:rPr>
            <w:t>he Integrated Electric Resource &amp; Master Plan Report</w:t>
          </w:r>
          <w:r w:rsidR="00787DF3" w:rsidRPr="00961E01">
            <w:rPr>
              <w:rFonts w:ascii="Century Gothic" w:eastAsia="Century Gothic" w:hAnsi="Century Gothic" w:cs="Century Gothic"/>
            </w:rPr>
            <w:t>:</w:t>
          </w:r>
        </w:p>
        <w:p w:rsidR="00787DF3" w:rsidRPr="00961E01" w:rsidRDefault="00787DF3" w:rsidP="00787DF3">
          <w:pPr>
            <w:numPr>
              <w:ilvl w:val="0"/>
              <w:numId w:val="3"/>
            </w:numPr>
            <w:pBdr>
              <w:top w:val="nil"/>
              <w:left w:val="nil"/>
              <w:bottom w:val="nil"/>
              <w:right w:val="nil"/>
              <w:between w:val="nil"/>
            </w:pBdr>
            <w:contextualSpacing/>
            <w:rPr>
              <w:rFonts w:ascii="Century Gothic" w:hAnsi="Century Gothic"/>
            </w:rPr>
          </w:pPr>
          <w:r w:rsidRPr="00961E01">
            <w:rPr>
              <w:rFonts w:ascii="Century Gothic" w:eastAsia="Century Gothic" w:hAnsi="Century Gothic" w:cs="Century Gothic"/>
            </w:rPr>
            <w:t xml:space="preserve">Submission of Integrated Electric Resource &amp; Master Plan to City </w:t>
          </w:r>
          <w:r w:rsidRPr="00961E01">
            <w:rPr>
              <w:rFonts w:ascii="Century Gothic" w:eastAsia="Century Gothic" w:hAnsi="Century Gothic" w:cs="Century Gothic"/>
              <w:color w:val="000000"/>
            </w:rPr>
            <w:t>Council</w:t>
          </w:r>
          <w:r w:rsidR="002166E3" w:rsidRPr="00961E01">
            <w:rPr>
              <w:rFonts w:ascii="Century Gothic" w:eastAsia="Century Gothic" w:hAnsi="Century Gothic" w:cs="Century Gothic"/>
              <w:color w:val="000000"/>
            </w:rPr>
            <w:t xml:space="preserve"> for acceptance</w:t>
          </w:r>
        </w:p>
        <w:p w:rsidR="00787DF3" w:rsidRPr="00961E01" w:rsidRDefault="00787DF3" w:rsidP="00787DF3">
          <w:pPr>
            <w:numPr>
              <w:ilvl w:val="0"/>
              <w:numId w:val="3"/>
            </w:numPr>
            <w:pBdr>
              <w:top w:val="nil"/>
              <w:left w:val="nil"/>
              <w:bottom w:val="nil"/>
              <w:right w:val="nil"/>
              <w:between w:val="nil"/>
            </w:pBdr>
            <w:contextualSpacing/>
            <w:rPr>
              <w:rFonts w:ascii="Century Gothic" w:hAnsi="Century Gothic"/>
            </w:rPr>
          </w:pPr>
          <w:r w:rsidRPr="00961E01">
            <w:rPr>
              <w:rFonts w:ascii="Century Gothic" w:eastAsia="Century Gothic" w:hAnsi="Century Gothic" w:cs="Century Gothic"/>
              <w:color w:val="000000"/>
            </w:rPr>
            <w:t xml:space="preserve">Develop Capital Improvement Plan, </w:t>
          </w:r>
          <w:r w:rsidRPr="00961E01">
            <w:rPr>
              <w:rFonts w:ascii="Century Gothic" w:eastAsia="Century Gothic" w:hAnsi="Century Gothic" w:cs="Century Gothic"/>
            </w:rPr>
            <w:t>Financing Plan</w:t>
          </w:r>
          <w:r w:rsidR="002166E3" w:rsidRPr="00961E01">
            <w:rPr>
              <w:rFonts w:ascii="Century Gothic" w:eastAsia="Century Gothic" w:hAnsi="Century Gothic" w:cs="Century Gothic"/>
            </w:rPr>
            <w:t>s</w:t>
          </w:r>
          <w:r w:rsidRPr="00961E01">
            <w:rPr>
              <w:rFonts w:ascii="Century Gothic" w:eastAsia="Century Gothic" w:hAnsi="Century Gothic" w:cs="Century Gothic"/>
              <w:color w:val="000000"/>
            </w:rPr>
            <w:t xml:space="preserve"> and Rate Impacts</w:t>
          </w:r>
        </w:p>
        <w:p w:rsidR="00787DF3" w:rsidRPr="00961E01" w:rsidRDefault="00787DF3" w:rsidP="00787DF3">
          <w:pPr>
            <w:numPr>
              <w:ilvl w:val="0"/>
              <w:numId w:val="3"/>
            </w:numPr>
            <w:pBdr>
              <w:top w:val="nil"/>
              <w:left w:val="nil"/>
              <w:bottom w:val="nil"/>
              <w:right w:val="nil"/>
              <w:between w:val="nil"/>
            </w:pBdr>
            <w:contextualSpacing/>
            <w:rPr>
              <w:rFonts w:ascii="Century Gothic" w:hAnsi="Century Gothic"/>
            </w:rPr>
          </w:pPr>
          <w:r w:rsidRPr="00961E01">
            <w:rPr>
              <w:rFonts w:ascii="Century Gothic" w:eastAsia="Century Gothic" w:hAnsi="Century Gothic" w:cs="Century Gothic"/>
              <w:color w:val="000000"/>
            </w:rPr>
            <w:t>Review</w:t>
          </w:r>
          <w:r w:rsidRPr="00961E01">
            <w:rPr>
              <w:rFonts w:ascii="Century Gothic" w:eastAsia="Century Gothic" w:hAnsi="Century Gothic" w:cs="Century Gothic"/>
            </w:rPr>
            <w:t xml:space="preserve"> Plans</w:t>
          </w:r>
          <w:r w:rsidRPr="00961E01">
            <w:rPr>
              <w:rFonts w:ascii="Century Gothic" w:eastAsia="Century Gothic" w:hAnsi="Century Gothic" w:cs="Century Gothic"/>
              <w:color w:val="000000"/>
            </w:rPr>
            <w:t xml:space="preserve"> at Pre-Council</w:t>
          </w:r>
        </w:p>
        <w:p w:rsidR="00961E01" w:rsidRPr="00961E01" w:rsidRDefault="002166E3" w:rsidP="00787DF3">
          <w:pPr>
            <w:numPr>
              <w:ilvl w:val="0"/>
              <w:numId w:val="3"/>
            </w:numPr>
            <w:pBdr>
              <w:top w:val="nil"/>
              <w:left w:val="nil"/>
              <w:bottom w:val="nil"/>
              <w:right w:val="nil"/>
              <w:between w:val="nil"/>
            </w:pBdr>
            <w:contextualSpacing/>
            <w:rPr>
              <w:rFonts w:ascii="Century Gothic" w:hAnsi="Century Gothic"/>
            </w:rPr>
          </w:pPr>
          <w:r w:rsidRPr="00961E01">
            <w:rPr>
              <w:rFonts w:ascii="Century Gothic" w:eastAsia="Century Gothic" w:hAnsi="Century Gothic" w:cs="Century Gothic"/>
            </w:rPr>
            <w:t xml:space="preserve">Execute the </w:t>
          </w:r>
          <w:r w:rsidR="00787DF3" w:rsidRPr="00961E01">
            <w:rPr>
              <w:rFonts w:ascii="Century Gothic" w:eastAsia="Century Gothic" w:hAnsi="Century Gothic" w:cs="Century Gothic"/>
            </w:rPr>
            <w:t>Public Improvement Process</w:t>
          </w:r>
        </w:p>
        <w:p w:rsidR="00961E01" w:rsidRPr="00961E01" w:rsidRDefault="00961E01" w:rsidP="00961E01">
          <w:pPr>
            <w:pBdr>
              <w:top w:val="nil"/>
              <w:left w:val="nil"/>
              <w:bottom w:val="nil"/>
              <w:right w:val="nil"/>
              <w:between w:val="nil"/>
            </w:pBdr>
            <w:contextualSpacing/>
            <w:rPr>
              <w:rFonts w:ascii="Century Gothic" w:eastAsia="Century Gothic" w:hAnsi="Century Gothic" w:cs="Century Gothic"/>
            </w:rPr>
          </w:pPr>
        </w:p>
        <w:p w:rsidR="00961E01" w:rsidRPr="00961E01" w:rsidRDefault="00961E01" w:rsidP="00961E01">
          <w:pPr>
            <w:pBdr>
              <w:top w:val="nil"/>
              <w:left w:val="nil"/>
              <w:bottom w:val="nil"/>
              <w:right w:val="nil"/>
              <w:between w:val="nil"/>
            </w:pBdr>
            <w:contextualSpacing/>
            <w:rPr>
              <w:rFonts w:ascii="Century Gothic" w:eastAsia="Century Gothic" w:hAnsi="Century Gothic" w:cs="Century Gothic"/>
            </w:rPr>
          </w:pPr>
          <w:r w:rsidRPr="00961E01">
            <w:rPr>
              <w:rFonts w:ascii="Century Gothic" w:eastAsia="Century Gothic" w:hAnsi="Century Gothic" w:cs="Century Gothic"/>
            </w:rPr>
            <w:t>As discussed at the February 7</w:t>
          </w:r>
          <w:r w:rsidRPr="00961E01">
            <w:rPr>
              <w:rFonts w:ascii="Century Gothic" w:eastAsia="Century Gothic" w:hAnsi="Century Gothic" w:cs="Century Gothic"/>
              <w:vertAlign w:val="superscript"/>
            </w:rPr>
            <w:t>th</w:t>
          </w:r>
          <w:r w:rsidRPr="00961E01">
            <w:rPr>
              <w:rFonts w:ascii="Century Gothic" w:eastAsia="Century Gothic" w:hAnsi="Century Gothic" w:cs="Century Gothic"/>
            </w:rPr>
            <w:t xml:space="preserve"> Water and Light Advisory Board meeting, the Water and Light Advisory Board provided the following information</w:t>
          </w:r>
          <w:r w:rsidR="00F454E0">
            <w:rPr>
              <w:rFonts w:ascii="Century Gothic" w:eastAsia="Century Gothic" w:hAnsi="Century Gothic" w:cs="Century Gothic"/>
            </w:rPr>
            <w:t>:</w:t>
          </w:r>
        </w:p>
        <w:p w:rsidR="00961E01" w:rsidRPr="00961E01" w:rsidRDefault="00961E01" w:rsidP="00961E01">
          <w:pPr>
            <w:pStyle w:val="ListParagraph"/>
            <w:numPr>
              <w:ilvl w:val="0"/>
              <w:numId w:val="5"/>
            </w:numPr>
            <w:pBdr>
              <w:top w:val="nil"/>
              <w:left w:val="nil"/>
              <w:bottom w:val="nil"/>
              <w:right w:val="nil"/>
              <w:between w:val="nil"/>
            </w:pBdr>
          </w:pPr>
          <w:r w:rsidRPr="00961E01">
            <w:rPr>
              <w:rFonts w:ascii="Century Gothic" w:hAnsi="Century Gothic"/>
            </w:rPr>
            <w:t>Expressed concern for the Water</w:t>
          </w:r>
          <w:r>
            <w:rPr>
              <w:rFonts w:ascii="Century Gothic" w:hAnsi="Century Gothic"/>
            </w:rPr>
            <w:t xml:space="preserve"> and Light Advisory Board to be part of the Task Force</w:t>
          </w:r>
        </w:p>
        <w:p w:rsidR="00B32561" w:rsidRPr="00B32561" w:rsidRDefault="00B32561" w:rsidP="00961E01">
          <w:pPr>
            <w:pStyle w:val="ListParagraph"/>
            <w:numPr>
              <w:ilvl w:val="0"/>
              <w:numId w:val="5"/>
            </w:numPr>
            <w:pBdr>
              <w:top w:val="nil"/>
              <w:left w:val="nil"/>
              <w:bottom w:val="nil"/>
              <w:right w:val="nil"/>
              <w:between w:val="nil"/>
            </w:pBdr>
          </w:pPr>
          <w:r>
            <w:rPr>
              <w:rFonts w:ascii="Century Gothic" w:hAnsi="Century Gothic"/>
            </w:rPr>
            <w:t xml:space="preserve">Passed a motion to comprise the </w:t>
          </w:r>
          <w:r>
            <w:rPr>
              <w:rFonts w:ascii="Century Gothic" w:eastAsia="Century Gothic" w:hAnsi="Century Gothic" w:cs="Century Gothic"/>
            </w:rPr>
            <w:t>Integrated Electric Resource &amp; Master Plan Task Force o</w:t>
          </w:r>
          <w:r w:rsidR="00F454E0">
            <w:rPr>
              <w:rFonts w:ascii="Century Gothic" w:eastAsia="Century Gothic" w:hAnsi="Century Gothic" w:cs="Century Gothic"/>
            </w:rPr>
            <w:t>f</w:t>
          </w:r>
          <w:r>
            <w:rPr>
              <w:rFonts w:ascii="Century Gothic" w:eastAsia="Century Gothic" w:hAnsi="Century Gothic" w:cs="Century Gothic"/>
            </w:rPr>
            <w:t xml:space="preserve"> eleven voting members</w:t>
          </w:r>
        </w:p>
        <w:p w:rsidR="00B32561" w:rsidRPr="00B32561" w:rsidRDefault="00B32561" w:rsidP="00961E01">
          <w:pPr>
            <w:pStyle w:val="ListParagraph"/>
            <w:numPr>
              <w:ilvl w:val="0"/>
              <w:numId w:val="5"/>
            </w:numPr>
            <w:pBdr>
              <w:top w:val="nil"/>
              <w:left w:val="nil"/>
              <w:bottom w:val="nil"/>
              <w:right w:val="nil"/>
              <w:between w:val="nil"/>
            </w:pBdr>
          </w:pPr>
          <w:r>
            <w:rPr>
              <w:rFonts w:ascii="Century Gothic" w:eastAsia="Century Gothic" w:hAnsi="Century Gothic" w:cs="Century Gothic"/>
            </w:rPr>
            <w:t>Passed a motion to included Financial, Social Equity, Engineering and Solar with the list provided by staff</w:t>
          </w:r>
        </w:p>
        <w:p w:rsidR="00B32561" w:rsidRPr="00B32561" w:rsidRDefault="00B32561" w:rsidP="00961E01">
          <w:pPr>
            <w:pStyle w:val="ListParagraph"/>
            <w:numPr>
              <w:ilvl w:val="0"/>
              <w:numId w:val="5"/>
            </w:numPr>
            <w:pBdr>
              <w:top w:val="nil"/>
              <w:left w:val="nil"/>
              <w:bottom w:val="nil"/>
              <w:right w:val="nil"/>
              <w:between w:val="nil"/>
            </w:pBdr>
          </w:pPr>
          <w:r>
            <w:rPr>
              <w:rFonts w:ascii="Century Gothic" w:eastAsia="Century Gothic" w:hAnsi="Century Gothic" w:cs="Century Gothic"/>
            </w:rPr>
            <w:t>Passed a motion to include a reminder to Council that they can appoint the number of ad hoc members as they feel necessary</w:t>
          </w:r>
        </w:p>
        <w:p w:rsidR="00CE4274" w:rsidRPr="002166E3" w:rsidRDefault="00B32561" w:rsidP="00961E01">
          <w:pPr>
            <w:pStyle w:val="ListParagraph"/>
            <w:numPr>
              <w:ilvl w:val="0"/>
              <w:numId w:val="5"/>
            </w:numPr>
            <w:pBdr>
              <w:top w:val="nil"/>
              <w:left w:val="nil"/>
              <w:bottom w:val="nil"/>
              <w:right w:val="nil"/>
              <w:between w:val="nil"/>
            </w:pBdr>
          </w:pPr>
          <w:r>
            <w:rPr>
              <w:rFonts w:ascii="Century Gothic" w:eastAsia="Century Gothic" w:hAnsi="Century Gothic" w:cs="Century Gothic"/>
            </w:rPr>
            <w:t>Passed a motion to recommend the Integrated Electric Resource &amp; Master Plan Task Force with amendments to Council</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166E3">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166E3">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EF6BE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EF6BE0" w:rsidP="000E4433">
      <w:pPr>
        <w:rPr>
          <w:rStyle w:val="Hyperlink"/>
          <w:rFonts w:ascii="Century Gothic" w:hAnsi="Century Gothic"/>
        </w:rPr>
      </w:pPr>
      <w:hyperlink r:id="rId10"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Pr>
              <w:rStyle w:val="Style3"/>
              <w:color w:val="808080" w:themeColor="background1" w:themeShade="80"/>
            </w:rPr>
            <w:t>Primary</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Tertiary</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87DF3" w:rsidP="00787DF3">
                <w:pPr>
                  <w:rPr>
                    <w:rFonts w:ascii="Century Gothic" w:hAnsi="Century Gothic"/>
                  </w:rPr>
                </w:pPr>
                <w:r>
                  <w:rPr>
                    <w:rFonts w:ascii="Century Gothic" w:hAnsi="Century Gothic"/>
                  </w:rPr>
                  <w:t>1/2/2018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87DF3" w:rsidP="00787DF3">
                <w:pPr>
                  <w:rPr>
                    <w:rFonts w:ascii="Century Gothic" w:hAnsi="Century Gothic"/>
                  </w:rPr>
                </w:pPr>
                <w:r>
                  <w:rPr>
                    <w:rFonts w:ascii="Century Gothic" w:hAnsi="Century Gothic"/>
                  </w:rPr>
                  <w:t>REP 1-18</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90516" w:rsidP="00C379A1">
          <w:pPr>
            <w:tabs>
              <w:tab w:val="left" w:pos="4530"/>
            </w:tabs>
            <w:rPr>
              <w:rFonts w:ascii="Century Gothic" w:hAnsi="Century Gothic"/>
            </w:rPr>
          </w:pPr>
          <w:r>
            <w:rPr>
              <w:rFonts w:ascii="Century Gothic" w:hAnsi="Century Gothic"/>
            </w:rPr>
            <w:t>Approve the resolution to e</w:t>
          </w:r>
          <w:r w:rsidR="00787DF3">
            <w:rPr>
              <w:rFonts w:ascii="Century Gothic" w:eastAsia="Century Gothic" w:hAnsi="Century Gothic" w:cs="Century Gothic"/>
            </w:rPr>
            <w:t>stablish the Integrated Electric Resource &amp; Master Planning Task Force</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74E1"/>
    <w:multiLevelType w:val="multilevel"/>
    <w:tmpl w:val="3A6A7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6FA72DD"/>
    <w:multiLevelType w:val="multilevel"/>
    <w:tmpl w:val="9C82CD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83F415F"/>
    <w:multiLevelType w:val="multilevel"/>
    <w:tmpl w:val="D15C49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D946F5"/>
    <w:multiLevelType w:val="multilevel"/>
    <w:tmpl w:val="D15C49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0C398B"/>
    <w:multiLevelType w:val="multilevel"/>
    <w:tmpl w:val="95A2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1939"/>
    <w:rsid w:val="000476B6"/>
    <w:rsid w:val="000564F4"/>
    <w:rsid w:val="00074231"/>
    <w:rsid w:val="00081116"/>
    <w:rsid w:val="00092AD1"/>
    <w:rsid w:val="000D39DA"/>
    <w:rsid w:val="000E2AA6"/>
    <w:rsid w:val="000E3DAB"/>
    <w:rsid w:val="000E4433"/>
    <w:rsid w:val="0011191B"/>
    <w:rsid w:val="00160464"/>
    <w:rsid w:val="00190516"/>
    <w:rsid w:val="001A294F"/>
    <w:rsid w:val="001E142A"/>
    <w:rsid w:val="001F1288"/>
    <w:rsid w:val="002166E3"/>
    <w:rsid w:val="00255AC2"/>
    <w:rsid w:val="002773F7"/>
    <w:rsid w:val="002C289E"/>
    <w:rsid w:val="002D380E"/>
    <w:rsid w:val="002F08A4"/>
    <w:rsid w:val="002F3061"/>
    <w:rsid w:val="00340994"/>
    <w:rsid w:val="00344C59"/>
    <w:rsid w:val="00374EE1"/>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A6EFA"/>
    <w:rsid w:val="005B3871"/>
    <w:rsid w:val="005F6088"/>
    <w:rsid w:val="00625FCB"/>
    <w:rsid w:val="00646D99"/>
    <w:rsid w:val="006D6E9E"/>
    <w:rsid w:val="006E0362"/>
    <w:rsid w:val="006F185A"/>
    <w:rsid w:val="00787DF3"/>
    <w:rsid w:val="00791D82"/>
    <w:rsid w:val="008078EB"/>
    <w:rsid w:val="008372DA"/>
    <w:rsid w:val="00852DF7"/>
    <w:rsid w:val="00883565"/>
    <w:rsid w:val="008C6849"/>
    <w:rsid w:val="008F0551"/>
    <w:rsid w:val="00942001"/>
    <w:rsid w:val="00945C5D"/>
    <w:rsid w:val="00952E34"/>
    <w:rsid w:val="00961E01"/>
    <w:rsid w:val="00970DAF"/>
    <w:rsid w:val="00974B88"/>
    <w:rsid w:val="009851C2"/>
    <w:rsid w:val="00992DCF"/>
    <w:rsid w:val="00995129"/>
    <w:rsid w:val="009B0B65"/>
    <w:rsid w:val="009B52E5"/>
    <w:rsid w:val="009B5E9C"/>
    <w:rsid w:val="009D5168"/>
    <w:rsid w:val="00A3177C"/>
    <w:rsid w:val="00A37B59"/>
    <w:rsid w:val="00A67E22"/>
    <w:rsid w:val="00A85777"/>
    <w:rsid w:val="00A93D9E"/>
    <w:rsid w:val="00B158FC"/>
    <w:rsid w:val="00B32561"/>
    <w:rsid w:val="00B62049"/>
    <w:rsid w:val="00B67603"/>
    <w:rsid w:val="00B972D7"/>
    <w:rsid w:val="00BA374B"/>
    <w:rsid w:val="00BD7739"/>
    <w:rsid w:val="00BE10D5"/>
    <w:rsid w:val="00BE5FE4"/>
    <w:rsid w:val="00C26D7E"/>
    <w:rsid w:val="00C34BE7"/>
    <w:rsid w:val="00C379A1"/>
    <w:rsid w:val="00C93741"/>
    <w:rsid w:val="00CB0EAA"/>
    <w:rsid w:val="00CE4274"/>
    <w:rsid w:val="00D046B2"/>
    <w:rsid w:val="00D102C6"/>
    <w:rsid w:val="00D279F1"/>
    <w:rsid w:val="00D33627"/>
    <w:rsid w:val="00D44CD9"/>
    <w:rsid w:val="00D85A25"/>
    <w:rsid w:val="00DC18D1"/>
    <w:rsid w:val="00DE2810"/>
    <w:rsid w:val="00DF4837"/>
    <w:rsid w:val="00E21F4E"/>
    <w:rsid w:val="00E518F5"/>
    <w:rsid w:val="00E52526"/>
    <w:rsid w:val="00E74D19"/>
    <w:rsid w:val="00EB1A02"/>
    <w:rsid w:val="00EC2404"/>
    <w:rsid w:val="00ED1548"/>
    <w:rsid w:val="00EE317A"/>
    <w:rsid w:val="00EF6BE0"/>
    <w:rsid w:val="00F214E8"/>
    <w:rsid w:val="00F30B5A"/>
    <w:rsid w:val="00F454E0"/>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ommunity_development/comprehensive_plan/documents/ColumbiaImagined-FINAL.pdf" TargetMode="External"/><Relationship Id="rId4" Type="http://schemas.microsoft.com/office/2007/relationships/stylesWithEffects" Target="stylesWithEffect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
      <w:docPartPr>
        <w:name w:val="AE4033DA955B4D92919F552BDCA87364"/>
        <w:category>
          <w:name w:val="General"/>
          <w:gallery w:val="placeholder"/>
        </w:category>
        <w:types>
          <w:type w:val="bbPlcHdr"/>
        </w:types>
        <w:behaviors>
          <w:behavior w:val="content"/>
        </w:behaviors>
        <w:guid w:val="{1B9EA431-C4BA-427D-B109-D8D6C3C83C8E}"/>
      </w:docPartPr>
      <w:docPartBody>
        <w:p w:rsidR="00F977E8" w:rsidRDefault="00192324" w:rsidP="00192324">
          <w:pPr>
            <w:pStyle w:val="AE4033DA955B4D92919F552BDCA8736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CE58B1E62464E799480C6CC78EC39FC"/>
        <w:category>
          <w:name w:val="General"/>
          <w:gallery w:val="placeholder"/>
        </w:category>
        <w:types>
          <w:type w:val="bbPlcHdr"/>
        </w:types>
        <w:behaviors>
          <w:behavior w:val="content"/>
        </w:behaviors>
        <w:guid w:val="{940305C8-83E8-40B1-AD01-620935236F93}"/>
      </w:docPartPr>
      <w:docPartBody>
        <w:p w:rsidR="00F977E8" w:rsidRDefault="00192324" w:rsidP="00192324">
          <w:pPr>
            <w:pStyle w:val="2CE58B1E62464E799480C6CC78EC39FC"/>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92324"/>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35D9"/>
    <w:rsid w:val="00E97020"/>
    <w:rsid w:val="00EF0954"/>
    <w:rsid w:val="00F170DA"/>
    <w:rsid w:val="00F977E8"/>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92324"/>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AE4033DA955B4D92919F552BDCA87364">
    <w:name w:val="AE4033DA955B4D92919F552BDCA87364"/>
    <w:rsid w:val="00192324"/>
    <w:pPr>
      <w:spacing w:after="160" w:line="259" w:lineRule="auto"/>
    </w:pPr>
  </w:style>
  <w:style w:type="paragraph" w:customStyle="1" w:styleId="2CE58B1E62464E799480C6CC78EC39FC">
    <w:name w:val="2CE58B1E62464E799480C6CC78EC39FC"/>
    <w:rsid w:val="0019232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92324"/>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AE4033DA955B4D92919F552BDCA87364">
    <w:name w:val="AE4033DA955B4D92919F552BDCA87364"/>
    <w:rsid w:val="00192324"/>
    <w:pPr>
      <w:spacing w:after="160" w:line="259" w:lineRule="auto"/>
    </w:pPr>
  </w:style>
  <w:style w:type="paragraph" w:customStyle="1" w:styleId="2CE58B1E62464E799480C6CC78EC39FC">
    <w:name w:val="2CE58B1E62464E799480C6CC78EC39FC"/>
    <w:rsid w:val="001923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8202-0264-4F1F-BEB8-C118758E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2</cp:revision>
  <cp:lastPrinted>2018-02-21T15:42:00Z</cp:lastPrinted>
  <dcterms:created xsi:type="dcterms:W3CDTF">2018-02-21T21:02:00Z</dcterms:created>
  <dcterms:modified xsi:type="dcterms:W3CDTF">2018-02-21T21:02:00Z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