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914AC" w14:textId="29ED91E8" w:rsidR="00DE5EF4" w:rsidRDefault="004D1C09" w:rsidP="00DE5EF4">
      <w:pPr>
        <w:ind w:left="1260" w:hanging="1260"/>
      </w:pPr>
      <w:r>
        <w:t xml:space="preserve">TO: CATSO Coordinating </w:t>
      </w:r>
      <w:r w:rsidR="00DE5EF4">
        <w:t>Committee</w:t>
      </w:r>
    </w:p>
    <w:p w14:paraId="094B10AF" w14:textId="77777777" w:rsidR="00DE5EF4" w:rsidRDefault="00DE5EF4" w:rsidP="00DE5EF4"/>
    <w:p w14:paraId="1FCBC957" w14:textId="77777777" w:rsidR="00DE5EF4" w:rsidRDefault="00DE5EF4" w:rsidP="00DE5EF4">
      <w:r>
        <w:t>FROM: CATSO Staff</w:t>
      </w:r>
    </w:p>
    <w:p w14:paraId="67F7D82F" w14:textId="77777777" w:rsidR="00DE5EF4" w:rsidRDefault="00DE5EF4" w:rsidP="00DE5EF4"/>
    <w:p w14:paraId="2A2D6B27" w14:textId="44F2E801" w:rsidR="00DE5EF4" w:rsidRDefault="00DE5EF4" w:rsidP="00DE5EF4">
      <w:pPr>
        <w:widowControl w:val="0"/>
        <w:jc w:val="both"/>
      </w:pPr>
      <w:r>
        <w:t xml:space="preserve">SUBJECT: </w:t>
      </w:r>
      <w:r w:rsidR="00C711AE">
        <w:t xml:space="preserve">Item </w:t>
      </w:r>
      <w:r w:rsidR="004266B7">
        <w:t>6 –</w:t>
      </w:r>
      <w:r w:rsidR="00C711AE">
        <w:t xml:space="preserve"> </w:t>
      </w:r>
      <w:r w:rsidR="004266B7">
        <w:t>LRTP Update Draft Revenue Projections for CATSO MPA</w:t>
      </w:r>
    </w:p>
    <w:p w14:paraId="2B74761C" w14:textId="77777777" w:rsidR="00DE5EF4" w:rsidRDefault="00DE5EF4" w:rsidP="00DE5EF4">
      <w:r>
        <w:t xml:space="preserve"> </w:t>
      </w:r>
    </w:p>
    <w:p w14:paraId="2DE3D9D4" w14:textId="0A7FCBC9" w:rsidR="00DE5EF4" w:rsidRDefault="00DE5EF4" w:rsidP="00DE5EF4">
      <w:r>
        <w:t xml:space="preserve">DATE: </w:t>
      </w:r>
      <w:r w:rsidR="00883CB7">
        <w:t xml:space="preserve">February </w:t>
      </w:r>
      <w:r w:rsidR="004D1C09">
        <w:t>22</w:t>
      </w:r>
      <w:r>
        <w:t xml:space="preserve">, </w:t>
      </w:r>
      <w:r w:rsidR="00883CB7">
        <w:t>2018</w:t>
      </w:r>
    </w:p>
    <w:p w14:paraId="6A3CCD3A" w14:textId="77777777" w:rsidR="00DE5EF4" w:rsidRDefault="00DE5EF4" w:rsidP="00720999">
      <w:pPr>
        <w:jc w:val="center"/>
        <w:rPr>
          <w:b/>
          <w:sz w:val="32"/>
          <w:szCs w:val="32"/>
        </w:rPr>
      </w:pPr>
    </w:p>
    <w:p w14:paraId="399A076F" w14:textId="015F2793" w:rsidR="00DE5EF4" w:rsidRDefault="00AC7B03" w:rsidP="002372CE">
      <w:pPr>
        <w:rPr>
          <w:szCs w:val="32"/>
        </w:rPr>
      </w:pPr>
      <w:r w:rsidRPr="00AC7B03">
        <w:rPr>
          <w:szCs w:val="32"/>
        </w:rPr>
        <w:t xml:space="preserve">Attached is a draft revenue projections spreadsheet for the </w:t>
      </w:r>
      <w:r w:rsidR="004125BC">
        <w:rPr>
          <w:szCs w:val="32"/>
        </w:rPr>
        <w:t>CATSO 2050</w:t>
      </w:r>
      <w:r w:rsidR="00F40EB8">
        <w:rPr>
          <w:szCs w:val="32"/>
        </w:rPr>
        <w:t xml:space="preserve"> Long-range Transportation Plan (</w:t>
      </w:r>
      <w:r w:rsidRPr="00AC7B03">
        <w:rPr>
          <w:szCs w:val="32"/>
        </w:rPr>
        <w:t>LRTP</w:t>
      </w:r>
      <w:r w:rsidR="00F40EB8">
        <w:rPr>
          <w:szCs w:val="32"/>
        </w:rPr>
        <w:t>)</w:t>
      </w:r>
      <w:r w:rsidRPr="00AC7B03">
        <w:rPr>
          <w:szCs w:val="32"/>
        </w:rPr>
        <w:t xml:space="preserve"> update. The estimated revenue forms the basis for the list of anticipated street and other transportation projects </w:t>
      </w:r>
      <w:r>
        <w:rPr>
          <w:szCs w:val="32"/>
        </w:rPr>
        <w:t xml:space="preserve">to be included in the LRTP. </w:t>
      </w:r>
      <w:r w:rsidR="007600F5">
        <w:rPr>
          <w:szCs w:val="32"/>
        </w:rPr>
        <w:t xml:space="preserve">Base year for the projections is the current fiscal year, FY 2018. </w:t>
      </w:r>
    </w:p>
    <w:p w14:paraId="7629F49E" w14:textId="77777777" w:rsidR="007600F5" w:rsidRDefault="007600F5" w:rsidP="002372CE">
      <w:pPr>
        <w:rPr>
          <w:szCs w:val="32"/>
        </w:rPr>
      </w:pPr>
    </w:p>
    <w:p w14:paraId="4A2CC3A1" w14:textId="205E2AFB" w:rsidR="0059367F" w:rsidRDefault="007600F5" w:rsidP="002372CE">
      <w:pPr>
        <w:rPr>
          <w:szCs w:val="32"/>
        </w:rPr>
      </w:pPr>
      <w:r>
        <w:rPr>
          <w:szCs w:val="32"/>
        </w:rPr>
        <w:t xml:space="preserve">The assumptions used for each of the revenue sources vary. </w:t>
      </w:r>
      <w:r w:rsidR="0059367F">
        <w:rPr>
          <w:szCs w:val="32"/>
        </w:rPr>
        <w:t>For the Boone County and City of Columbia projections, the assumptions are based in part upon consultation/feedback with the Boone County Auditor’s office and City of Columbia Finance Department. MoDOT assumptions are based upon consultations with the MoDOT Central District office and Central Office planning staff.</w:t>
      </w:r>
      <w:r w:rsidR="00C12E55">
        <w:rPr>
          <w:szCs w:val="32"/>
        </w:rPr>
        <w:t xml:space="preserve"> For federal funds, staff has consulted with both the Federal Highway Administration (FHWA) Missouri division office and the Federal Transit Administration (FTA) Region 7 office. </w:t>
      </w:r>
    </w:p>
    <w:p w14:paraId="3D1BFA08" w14:textId="77777777" w:rsidR="0059367F" w:rsidRDefault="0059367F" w:rsidP="002372CE">
      <w:pPr>
        <w:rPr>
          <w:szCs w:val="32"/>
        </w:rPr>
      </w:pPr>
    </w:p>
    <w:p w14:paraId="429A36C7" w14:textId="3259E110" w:rsidR="007600F5" w:rsidRDefault="007600F5" w:rsidP="002372CE">
      <w:pPr>
        <w:rPr>
          <w:szCs w:val="32"/>
        </w:rPr>
      </w:pPr>
      <w:r>
        <w:rPr>
          <w:szCs w:val="32"/>
        </w:rPr>
        <w:t>For Boone County local tax revenues, the following assumptions are made for out years:</w:t>
      </w:r>
    </w:p>
    <w:p w14:paraId="50701583" w14:textId="77777777" w:rsidR="007600F5" w:rsidRDefault="007600F5" w:rsidP="002372CE">
      <w:pPr>
        <w:rPr>
          <w:szCs w:val="32"/>
        </w:rPr>
      </w:pPr>
    </w:p>
    <w:p w14:paraId="2F3A952F" w14:textId="6E72CBCC" w:rsidR="007600F5" w:rsidRPr="007600F5" w:rsidRDefault="007600F5" w:rsidP="007600F5">
      <w:pPr>
        <w:rPr>
          <w:rFonts w:asciiTheme="minorHAnsi" w:hAnsiTheme="minorHAnsi"/>
          <w:sz w:val="22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Boone County 1/2 Cent Sales Tax</w:t>
      </w:r>
      <w:r w:rsidRPr="007600F5">
        <w:rPr>
          <w:rFonts w:asciiTheme="minorHAnsi" w:hAnsiTheme="minorHAnsi"/>
          <w:sz w:val="22"/>
          <w:szCs w:val="32"/>
        </w:rPr>
        <w:t xml:space="preserve"> –</w:t>
      </w:r>
      <w:r w:rsidRPr="00913591">
        <w:rPr>
          <w:rFonts w:asciiTheme="minorHAnsi" w:hAnsiTheme="minorHAnsi"/>
          <w:b/>
          <w:sz w:val="22"/>
          <w:szCs w:val="32"/>
        </w:rPr>
        <w:t xml:space="preserve"> 1.5% annual growth</w:t>
      </w:r>
    </w:p>
    <w:p w14:paraId="7579ED55" w14:textId="564DA8C7" w:rsidR="007600F5" w:rsidRPr="007600F5" w:rsidRDefault="007600F5" w:rsidP="007600F5">
      <w:pPr>
        <w:rPr>
          <w:rFonts w:asciiTheme="minorHAnsi" w:hAnsiTheme="minorHAnsi"/>
          <w:sz w:val="22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Boone County Dedicated Property Tax</w:t>
      </w:r>
      <w:r w:rsidRPr="007600F5">
        <w:rPr>
          <w:rFonts w:asciiTheme="minorHAnsi" w:hAnsiTheme="minorHAnsi"/>
          <w:sz w:val="22"/>
          <w:szCs w:val="32"/>
        </w:rPr>
        <w:t xml:space="preserve"> –</w:t>
      </w:r>
      <w:r w:rsidRPr="00913591">
        <w:rPr>
          <w:rFonts w:asciiTheme="minorHAnsi" w:hAnsiTheme="minorHAnsi"/>
          <w:b/>
          <w:sz w:val="22"/>
          <w:szCs w:val="32"/>
        </w:rPr>
        <w:t xml:space="preserve"> 2% annual growth</w:t>
      </w:r>
    </w:p>
    <w:p w14:paraId="6192DE19" w14:textId="7C50CB95" w:rsidR="007600F5" w:rsidRPr="007600F5" w:rsidRDefault="007600F5" w:rsidP="007600F5">
      <w:pPr>
        <w:rPr>
          <w:rFonts w:asciiTheme="minorHAnsi" w:hAnsiTheme="minorHAnsi"/>
          <w:sz w:val="22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Boone County Gasoline Tax (CART)</w:t>
      </w:r>
      <w:r w:rsidRPr="007600F5">
        <w:rPr>
          <w:rFonts w:asciiTheme="minorHAnsi" w:hAnsiTheme="minorHAnsi"/>
          <w:sz w:val="22"/>
          <w:szCs w:val="32"/>
        </w:rPr>
        <w:t xml:space="preserve"> - </w:t>
      </w:r>
      <w:r w:rsidRPr="00913591">
        <w:rPr>
          <w:rFonts w:asciiTheme="minorHAnsi" w:hAnsiTheme="minorHAnsi"/>
          <w:b/>
          <w:sz w:val="22"/>
          <w:szCs w:val="32"/>
        </w:rPr>
        <w:t>flat</w:t>
      </w:r>
    </w:p>
    <w:p w14:paraId="5B73D0B5" w14:textId="64DEC8D7" w:rsidR="007600F5" w:rsidRDefault="007600F5" w:rsidP="007600F5">
      <w:pPr>
        <w:rPr>
          <w:rFonts w:asciiTheme="minorHAnsi" w:hAnsiTheme="minorHAnsi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Boone County Motor Vehicle Fees and Sales Tax</w:t>
      </w:r>
      <w:r w:rsidRPr="007600F5">
        <w:rPr>
          <w:rFonts w:asciiTheme="minorHAnsi" w:hAnsiTheme="minorHAnsi"/>
          <w:sz w:val="22"/>
          <w:szCs w:val="32"/>
        </w:rPr>
        <w:t xml:space="preserve"> – </w:t>
      </w:r>
      <w:r w:rsidRPr="00913591">
        <w:rPr>
          <w:rFonts w:asciiTheme="minorHAnsi" w:hAnsiTheme="minorHAnsi"/>
          <w:b/>
          <w:sz w:val="22"/>
          <w:szCs w:val="32"/>
        </w:rPr>
        <w:t>flat</w:t>
      </w:r>
    </w:p>
    <w:p w14:paraId="412BB94E" w14:textId="77777777" w:rsidR="00913591" w:rsidRDefault="00913591" w:rsidP="007600F5">
      <w:pPr>
        <w:rPr>
          <w:rFonts w:asciiTheme="minorHAnsi" w:hAnsiTheme="minorHAnsi"/>
          <w:szCs w:val="32"/>
        </w:rPr>
      </w:pPr>
    </w:p>
    <w:p w14:paraId="4570C279" w14:textId="102C1366" w:rsidR="00913591" w:rsidRPr="00913591" w:rsidRDefault="00913591" w:rsidP="007600F5">
      <w:pPr>
        <w:rPr>
          <w:rFonts w:cs="Times New Roman"/>
          <w:szCs w:val="32"/>
        </w:rPr>
      </w:pPr>
      <w:r w:rsidRPr="00913591">
        <w:rPr>
          <w:rFonts w:cs="Times New Roman"/>
          <w:szCs w:val="32"/>
        </w:rPr>
        <w:t>For City of Columbia tax revenues, the following assumptions apply for out years:</w:t>
      </w:r>
    </w:p>
    <w:p w14:paraId="11E16D55" w14:textId="77777777" w:rsidR="00913591" w:rsidRDefault="00913591" w:rsidP="007600F5">
      <w:pPr>
        <w:rPr>
          <w:rFonts w:asciiTheme="minorHAnsi" w:hAnsiTheme="minorHAnsi"/>
          <w:szCs w:val="32"/>
        </w:rPr>
      </w:pPr>
    </w:p>
    <w:p w14:paraId="4F7746FE" w14:textId="26C833A2" w:rsidR="007600F5" w:rsidRPr="00913591" w:rsidRDefault="007600F5" w:rsidP="007600F5">
      <w:pPr>
        <w:rPr>
          <w:rFonts w:asciiTheme="minorHAnsi" w:hAnsiTheme="minorHAnsi"/>
          <w:i/>
          <w:sz w:val="22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City of Columbia 1/2 Cent Transportation Sales Tax</w:t>
      </w:r>
      <w:r w:rsidR="00913591">
        <w:rPr>
          <w:rFonts w:asciiTheme="minorHAnsi" w:hAnsiTheme="minorHAnsi"/>
          <w:i/>
          <w:sz w:val="22"/>
          <w:szCs w:val="32"/>
        </w:rPr>
        <w:t xml:space="preserve"> – </w:t>
      </w:r>
      <w:r w:rsidR="00913591" w:rsidRPr="00913591">
        <w:rPr>
          <w:rFonts w:asciiTheme="minorHAnsi" w:hAnsiTheme="minorHAnsi"/>
          <w:b/>
          <w:sz w:val="22"/>
          <w:szCs w:val="32"/>
        </w:rPr>
        <w:t>1% annual growth</w:t>
      </w:r>
    </w:p>
    <w:p w14:paraId="2DEB641A" w14:textId="63D97E9C" w:rsidR="007600F5" w:rsidRPr="00913591" w:rsidRDefault="007600F5" w:rsidP="007600F5">
      <w:pPr>
        <w:rPr>
          <w:rFonts w:asciiTheme="minorHAnsi" w:hAnsiTheme="minorHAnsi"/>
          <w:i/>
          <w:sz w:val="22"/>
          <w:szCs w:val="32"/>
        </w:rPr>
      </w:pPr>
      <w:r w:rsidRPr="00913591">
        <w:rPr>
          <w:rFonts w:asciiTheme="minorHAnsi" w:hAnsiTheme="minorHAnsi"/>
          <w:i/>
          <w:sz w:val="22"/>
          <w:szCs w:val="32"/>
        </w:rPr>
        <w:t>City of Columbia 1/4 Cent Capital Improvements Sales Tax</w:t>
      </w:r>
      <w:r w:rsidR="00913591">
        <w:rPr>
          <w:rFonts w:asciiTheme="minorHAnsi" w:hAnsiTheme="minorHAnsi"/>
          <w:i/>
          <w:sz w:val="22"/>
          <w:szCs w:val="32"/>
        </w:rPr>
        <w:t xml:space="preserve"> – </w:t>
      </w:r>
      <w:r w:rsidR="00913591" w:rsidRPr="00913591">
        <w:rPr>
          <w:rFonts w:asciiTheme="minorHAnsi" w:hAnsiTheme="minorHAnsi"/>
          <w:b/>
          <w:sz w:val="22"/>
          <w:szCs w:val="32"/>
        </w:rPr>
        <w:t>1% annual growth</w:t>
      </w:r>
    </w:p>
    <w:p w14:paraId="05B62209" w14:textId="702B5A1B" w:rsidR="007600F5" w:rsidRPr="00913591" w:rsidRDefault="007600F5" w:rsidP="007600F5">
      <w:pPr>
        <w:rPr>
          <w:rFonts w:asciiTheme="minorHAnsi" w:hAnsiTheme="minorHAnsi"/>
          <w:i/>
          <w:sz w:val="22"/>
          <w:szCs w:val="32"/>
        </w:rPr>
      </w:pPr>
      <w:r w:rsidRPr="0059367F">
        <w:rPr>
          <w:rFonts w:asciiTheme="minorHAnsi" w:hAnsiTheme="minorHAnsi"/>
          <w:i/>
          <w:sz w:val="22"/>
          <w:szCs w:val="32"/>
        </w:rPr>
        <w:t>City of Columbia - BoCo Rebate Tax</w:t>
      </w:r>
      <w:r w:rsidR="00913591" w:rsidRPr="0059367F">
        <w:rPr>
          <w:rFonts w:asciiTheme="minorHAnsi" w:hAnsiTheme="minorHAnsi"/>
          <w:i/>
          <w:sz w:val="22"/>
          <w:szCs w:val="32"/>
        </w:rPr>
        <w:t xml:space="preserve">- </w:t>
      </w:r>
      <w:r w:rsidR="00913591" w:rsidRPr="0059367F">
        <w:rPr>
          <w:rFonts w:asciiTheme="minorHAnsi" w:hAnsiTheme="minorHAnsi"/>
          <w:b/>
          <w:sz w:val="22"/>
          <w:szCs w:val="32"/>
        </w:rPr>
        <w:t>flat</w:t>
      </w:r>
      <w:r w:rsidR="00490FCA">
        <w:rPr>
          <w:rFonts w:asciiTheme="minorHAnsi" w:hAnsiTheme="minorHAnsi"/>
          <w:b/>
          <w:sz w:val="22"/>
          <w:szCs w:val="32"/>
        </w:rPr>
        <w:t xml:space="preserve"> </w:t>
      </w:r>
    </w:p>
    <w:p w14:paraId="51CBCE66" w14:textId="77777777" w:rsidR="007600F5" w:rsidRDefault="007600F5" w:rsidP="007600F5">
      <w:pPr>
        <w:rPr>
          <w:rFonts w:asciiTheme="minorHAnsi" w:hAnsiTheme="minorHAnsi"/>
          <w:szCs w:val="32"/>
        </w:rPr>
      </w:pPr>
    </w:p>
    <w:p w14:paraId="6B9F1217" w14:textId="6EBACD90" w:rsidR="009207E4" w:rsidRPr="009207E4" w:rsidRDefault="009207E4" w:rsidP="009207E4">
      <w:pPr>
        <w:rPr>
          <w:rFonts w:asciiTheme="minorHAnsi" w:hAnsiTheme="minorHAnsi"/>
          <w:sz w:val="22"/>
          <w:szCs w:val="32"/>
        </w:rPr>
      </w:pPr>
      <w:r w:rsidRPr="009207E4">
        <w:rPr>
          <w:rFonts w:asciiTheme="minorHAnsi" w:hAnsiTheme="minorHAnsi"/>
          <w:i/>
          <w:sz w:val="22"/>
          <w:szCs w:val="32"/>
        </w:rPr>
        <w:t>Public Improvement Fund/Development Fees</w:t>
      </w:r>
      <w:r w:rsidRPr="009207E4">
        <w:rPr>
          <w:rFonts w:asciiTheme="minorHAnsi" w:hAnsiTheme="minorHAnsi"/>
          <w:sz w:val="22"/>
          <w:szCs w:val="32"/>
        </w:rPr>
        <w:t xml:space="preserve"> - </w:t>
      </w:r>
      <w:r w:rsidRPr="009207E4">
        <w:rPr>
          <w:rFonts w:asciiTheme="minorHAnsi" w:hAnsiTheme="minorHAnsi"/>
          <w:b/>
          <w:sz w:val="22"/>
          <w:szCs w:val="32"/>
        </w:rPr>
        <w:t>.45% annual growth</w:t>
      </w:r>
    </w:p>
    <w:p w14:paraId="5085EAE0" w14:textId="0F6CF2D8" w:rsidR="009207E4" w:rsidRPr="009207E4" w:rsidRDefault="009207E4" w:rsidP="009207E4">
      <w:pPr>
        <w:rPr>
          <w:rFonts w:asciiTheme="minorHAnsi" w:hAnsiTheme="minorHAnsi"/>
          <w:i/>
          <w:sz w:val="22"/>
          <w:szCs w:val="32"/>
        </w:rPr>
      </w:pPr>
      <w:r w:rsidRPr="009207E4">
        <w:rPr>
          <w:rFonts w:asciiTheme="minorHAnsi" w:hAnsiTheme="minorHAnsi"/>
          <w:i/>
          <w:sz w:val="22"/>
          <w:szCs w:val="32"/>
        </w:rPr>
        <w:t>City CDBG Revenues</w:t>
      </w:r>
      <w:r>
        <w:rPr>
          <w:rFonts w:asciiTheme="minorHAnsi" w:hAnsiTheme="minorHAnsi"/>
          <w:i/>
          <w:sz w:val="22"/>
          <w:szCs w:val="32"/>
        </w:rPr>
        <w:t xml:space="preserve"> - </w:t>
      </w:r>
      <w:r w:rsidRPr="009207E4">
        <w:rPr>
          <w:rFonts w:asciiTheme="minorHAnsi" w:hAnsiTheme="minorHAnsi"/>
          <w:b/>
          <w:sz w:val="22"/>
          <w:szCs w:val="32"/>
        </w:rPr>
        <w:t>flat</w:t>
      </w:r>
    </w:p>
    <w:p w14:paraId="3C906A38" w14:textId="61AD00BD" w:rsidR="009207E4" w:rsidRPr="009207E4" w:rsidRDefault="009207E4" w:rsidP="009207E4">
      <w:pPr>
        <w:rPr>
          <w:rFonts w:asciiTheme="minorHAnsi" w:hAnsiTheme="minorHAnsi"/>
          <w:i/>
          <w:sz w:val="22"/>
          <w:szCs w:val="32"/>
        </w:rPr>
      </w:pPr>
      <w:r w:rsidRPr="009207E4">
        <w:rPr>
          <w:rFonts w:asciiTheme="minorHAnsi" w:hAnsiTheme="minorHAnsi"/>
          <w:i/>
          <w:sz w:val="22"/>
          <w:szCs w:val="32"/>
        </w:rPr>
        <w:t>Gasoline Tax</w:t>
      </w:r>
      <w:r>
        <w:rPr>
          <w:rFonts w:asciiTheme="minorHAnsi" w:hAnsiTheme="minorHAnsi"/>
          <w:i/>
          <w:sz w:val="22"/>
          <w:szCs w:val="32"/>
        </w:rPr>
        <w:t xml:space="preserve"> - </w:t>
      </w:r>
      <w:r w:rsidRPr="009207E4">
        <w:rPr>
          <w:rFonts w:asciiTheme="minorHAnsi" w:hAnsiTheme="minorHAnsi"/>
          <w:b/>
          <w:sz w:val="22"/>
          <w:szCs w:val="32"/>
        </w:rPr>
        <w:t>flat</w:t>
      </w:r>
    </w:p>
    <w:p w14:paraId="0B47ADD4" w14:textId="36ED444E" w:rsidR="009207E4" w:rsidRPr="009207E4" w:rsidRDefault="009207E4" w:rsidP="009207E4">
      <w:pPr>
        <w:rPr>
          <w:rFonts w:asciiTheme="minorHAnsi" w:hAnsiTheme="minorHAnsi"/>
          <w:i/>
          <w:sz w:val="22"/>
          <w:szCs w:val="32"/>
        </w:rPr>
      </w:pPr>
      <w:r>
        <w:rPr>
          <w:rFonts w:asciiTheme="minorHAnsi" w:hAnsiTheme="minorHAnsi"/>
          <w:i/>
          <w:sz w:val="22"/>
          <w:szCs w:val="32"/>
        </w:rPr>
        <w:t xml:space="preserve">Motor Vehicle License Tax - </w:t>
      </w:r>
      <w:r w:rsidRPr="009207E4">
        <w:rPr>
          <w:rFonts w:asciiTheme="minorHAnsi" w:hAnsiTheme="minorHAnsi"/>
          <w:b/>
          <w:sz w:val="22"/>
          <w:szCs w:val="32"/>
        </w:rPr>
        <w:t>flat</w:t>
      </w:r>
    </w:p>
    <w:p w14:paraId="73E2BBEB" w14:textId="29E86E8D" w:rsidR="009207E4" w:rsidRDefault="009207E4" w:rsidP="009207E4">
      <w:pPr>
        <w:rPr>
          <w:rFonts w:asciiTheme="minorHAnsi" w:hAnsiTheme="minorHAnsi"/>
          <w:b/>
          <w:sz w:val="22"/>
          <w:szCs w:val="32"/>
        </w:rPr>
      </w:pPr>
      <w:r w:rsidRPr="009207E4">
        <w:rPr>
          <w:rFonts w:asciiTheme="minorHAnsi" w:hAnsiTheme="minorHAnsi"/>
          <w:i/>
          <w:sz w:val="22"/>
          <w:szCs w:val="32"/>
        </w:rPr>
        <w:t>Park Sales Tax</w:t>
      </w:r>
      <w:r>
        <w:rPr>
          <w:rFonts w:asciiTheme="minorHAnsi" w:hAnsiTheme="minorHAnsi"/>
          <w:i/>
          <w:sz w:val="22"/>
          <w:szCs w:val="32"/>
        </w:rPr>
        <w:t xml:space="preserve"> (Greenbelt Trail projects only) – </w:t>
      </w:r>
      <w:r w:rsidRPr="009207E4">
        <w:rPr>
          <w:rFonts w:asciiTheme="minorHAnsi" w:hAnsiTheme="minorHAnsi"/>
          <w:b/>
          <w:sz w:val="22"/>
          <w:szCs w:val="32"/>
        </w:rPr>
        <w:t>flat</w:t>
      </w:r>
    </w:p>
    <w:p w14:paraId="7C3CBDC4" w14:textId="77777777" w:rsidR="009207E4" w:rsidRDefault="009207E4" w:rsidP="009207E4">
      <w:pPr>
        <w:rPr>
          <w:rFonts w:asciiTheme="minorHAnsi" w:hAnsiTheme="minorHAnsi"/>
          <w:b/>
          <w:sz w:val="22"/>
          <w:szCs w:val="32"/>
        </w:rPr>
      </w:pPr>
    </w:p>
    <w:p w14:paraId="3886CF07" w14:textId="77777777" w:rsidR="000904C0" w:rsidRDefault="009207E4" w:rsidP="009207E4">
      <w:pPr>
        <w:rPr>
          <w:rFonts w:cs="Times New Roman"/>
          <w:sz w:val="22"/>
          <w:szCs w:val="32"/>
        </w:rPr>
      </w:pPr>
      <w:r w:rsidRPr="009207E4">
        <w:rPr>
          <w:rFonts w:cs="Times New Roman"/>
          <w:sz w:val="22"/>
          <w:szCs w:val="32"/>
        </w:rPr>
        <w:t xml:space="preserve">For state tax revenues, </w:t>
      </w:r>
      <w:r w:rsidR="000904C0">
        <w:rPr>
          <w:rFonts w:cs="Times New Roman"/>
          <w:sz w:val="22"/>
          <w:szCs w:val="32"/>
        </w:rPr>
        <w:t>the following assumptions apply:</w:t>
      </w:r>
    </w:p>
    <w:p w14:paraId="56E0EE54" w14:textId="77777777" w:rsidR="000904C0" w:rsidRDefault="000904C0" w:rsidP="009207E4">
      <w:pPr>
        <w:rPr>
          <w:rFonts w:cs="Times New Roman"/>
          <w:sz w:val="22"/>
          <w:szCs w:val="32"/>
        </w:rPr>
      </w:pPr>
    </w:p>
    <w:p w14:paraId="3AD4477A" w14:textId="41C1CDED" w:rsidR="000904C0" w:rsidRPr="000904C0" w:rsidRDefault="000904C0" w:rsidP="000904C0">
      <w:pPr>
        <w:rPr>
          <w:rFonts w:asciiTheme="minorHAnsi" w:hAnsiTheme="minorHAnsi" w:cs="Times New Roman"/>
          <w:i/>
          <w:sz w:val="22"/>
          <w:szCs w:val="32"/>
        </w:rPr>
      </w:pPr>
      <w:r w:rsidRPr="000904C0">
        <w:rPr>
          <w:rFonts w:asciiTheme="minorHAnsi" w:hAnsiTheme="minorHAnsi" w:cs="Times New Roman"/>
          <w:i/>
          <w:sz w:val="22"/>
          <w:szCs w:val="32"/>
        </w:rPr>
        <w:t>MoDOT Funding for Maintenance</w:t>
      </w:r>
      <w:r>
        <w:rPr>
          <w:rFonts w:asciiTheme="minorHAnsi" w:hAnsiTheme="minorHAnsi" w:cs="Times New Roman"/>
          <w:i/>
          <w:sz w:val="22"/>
          <w:szCs w:val="32"/>
        </w:rPr>
        <w:t xml:space="preserve"> - </w:t>
      </w:r>
      <w:r w:rsidRPr="000904C0">
        <w:rPr>
          <w:rFonts w:asciiTheme="minorHAnsi" w:hAnsiTheme="minorHAnsi" w:cs="Times New Roman"/>
          <w:b/>
          <w:sz w:val="22"/>
          <w:szCs w:val="32"/>
        </w:rPr>
        <w:t>flat</w:t>
      </w:r>
    </w:p>
    <w:p w14:paraId="0E23E529" w14:textId="30E08703" w:rsidR="000904C0" w:rsidRDefault="000904C0" w:rsidP="000904C0">
      <w:pPr>
        <w:rPr>
          <w:rFonts w:asciiTheme="minorHAnsi" w:hAnsiTheme="minorHAnsi" w:cs="Times New Roman"/>
          <w:b/>
          <w:sz w:val="22"/>
          <w:szCs w:val="32"/>
        </w:rPr>
      </w:pPr>
      <w:r w:rsidRPr="000904C0">
        <w:rPr>
          <w:rFonts w:asciiTheme="minorHAnsi" w:hAnsiTheme="minorHAnsi" w:cs="Times New Roman"/>
          <w:i/>
          <w:sz w:val="22"/>
          <w:szCs w:val="32"/>
        </w:rPr>
        <w:t>MoDOT Transit Oper</w:t>
      </w:r>
      <w:r>
        <w:rPr>
          <w:rFonts w:asciiTheme="minorHAnsi" w:hAnsiTheme="minorHAnsi" w:cs="Times New Roman"/>
          <w:i/>
          <w:sz w:val="22"/>
          <w:szCs w:val="32"/>
        </w:rPr>
        <w:t>ations Funding to Go COMO &amp; OATS –</w:t>
      </w:r>
      <w:r w:rsidRPr="000904C0">
        <w:rPr>
          <w:rFonts w:asciiTheme="minorHAnsi" w:hAnsiTheme="minorHAnsi" w:cs="Times New Roman"/>
          <w:b/>
          <w:sz w:val="22"/>
          <w:szCs w:val="32"/>
        </w:rPr>
        <w:t xml:space="preserve"> flat</w:t>
      </w:r>
    </w:p>
    <w:p w14:paraId="4C6CA301" w14:textId="77777777" w:rsidR="000904C0" w:rsidRDefault="000904C0" w:rsidP="000904C0">
      <w:pPr>
        <w:rPr>
          <w:rFonts w:asciiTheme="minorHAnsi" w:hAnsiTheme="minorHAnsi" w:cs="Times New Roman"/>
          <w:b/>
          <w:sz w:val="22"/>
          <w:szCs w:val="32"/>
        </w:rPr>
      </w:pPr>
    </w:p>
    <w:p w14:paraId="40E10992" w14:textId="6FC236D3" w:rsidR="000904C0" w:rsidRPr="000904C0" w:rsidRDefault="000904C0" w:rsidP="000904C0">
      <w:pPr>
        <w:rPr>
          <w:rFonts w:asciiTheme="minorHAnsi" w:hAnsiTheme="minorHAnsi" w:cs="Times New Roman"/>
          <w:i/>
          <w:sz w:val="22"/>
          <w:szCs w:val="32"/>
        </w:rPr>
      </w:pPr>
    </w:p>
    <w:p w14:paraId="651BED3C" w14:textId="77777777" w:rsidR="00DE5EF4" w:rsidRDefault="00DE5EF4" w:rsidP="00720999">
      <w:pPr>
        <w:jc w:val="center"/>
        <w:rPr>
          <w:b/>
          <w:sz w:val="32"/>
          <w:szCs w:val="32"/>
        </w:rPr>
      </w:pPr>
    </w:p>
    <w:p w14:paraId="11D72B4C" w14:textId="73590BE3" w:rsidR="00FB5FC2" w:rsidRPr="008B07C8" w:rsidRDefault="00FB5FC2" w:rsidP="00FB5FC2">
      <w:pPr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Item 6</w:t>
      </w:r>
      <w:r w:rsidRPr="008B07C8">
        <w:rPr>
          <w:rFonts w:eastAsia="Times New Roman" w:cs="Times New Roman"/>
          <w:i/>
          <w:sz w:val="20"/>
          <w:szCs w:val="24"/>
        </w:rPr>
        <w:t xml:space="preserve"> – </w:t>
      </w:r>
      <w:r>
        <w:rPr>
          <w:rFonts w:eastAsia="Times New Roman" w:cs="Times New Roman"/>
          <w:i/>
          <w:sz w:val="20"/>
          <w:szCs w:val="24"/>
        </w:rPr>
        <w:t xml:space="preserve">February </w:t>
      </w:r>
      <w:r w:rsidR="004D1C09">
        <w:rPr>
          <w:rFonts w:eastAsia="Times New Roman" w:cs="Times New Roman"/>
          <w:i/>
          <w:sz w:val="20"/>
          <w:szCs w:val="24"/>
        </w:rPr>
        <w:t>22</w:t>
      </w:r>
      <w:r>
        <w:rPr>
          <w:rFonts w:eastAsia="Times New Roman" w:cs="Times New Roman"/>
          <w:i/>
          <w:sz w:val="20"/>
          <w:szCs w:val="24"/>
        </w:rPr>
        <w:t xml:space="preserve">, 2018 </w:t>
      </w:r>
      <w:r w:rsidRPr="008B07C8">
        <w:rPr>
          <w:rFonts w:eastAsia="Times New Roman" w:cs="Times New Roman"/>
          <w:i/>
          <w:sz w:val="20"/>
          <w:szCs w:val="24"/>
        </w:rPr>
        <w:t xml:space="preserve">CATSO </w:t>
      </w:r>
      <w:r w:rsidR="004D1C09">
        <w:rPr>
          <w:rFonts w:eastAsia="Times New Roman" w:cs="Times New Roman"/>
          <w:i/>
          <w:sz w:val="20"/>
          <w:szCs w:val="24"/>
        </w:rPr>
        <w:t xml:space="preserve">Coordinating </w:t>
      </w:r>
      <w:r>
        <w:rPr>
          <w:rFonts w:eastAsia="Times New Roman" w:cs="Times New Roman"/>
          <w:i/>
          <w:sz w:val="20"/>
          <w:szCs w:val="24"/>
        </w:rPr>
        <w:t xml:space="preserve">Committee </w:t>
      </w:r>
    </w:p>
    <w:p w14:paraId="06A4B5B7" w14:textId="77777777" w:rsidR="00FB5FC2" w:rsidRDefault="00FB5FC2" w:rsidP="00FB5FC2">
      <w:pPr>
        <w:rPr>
          <w:rFonts w:eastAsia="Times New Roman" w:cs="Times New Roman"/>
          <w:i/>
          <w:sz w:val="20"/>
          <w:szCs w:val="24"/>
        </w:rPr>
      </w:pPr>
      <w:r w:rsidRPr="008B07C8">
        <w:rPr>
          <w:rFonts w:eastAsia="Times New Roman" w:cs="Times New Roman"/>
          <w:i/>
          <w:sz w:val="20"/>
          <w:szCs w:val="24"/>
        </w:rPr>
        <w:t>Page 2</w:t>
      </w:r>
    </w:p>
    <w:p w14:paraId="688560D6" w14:textId="77777777" w:rsidR="00FB5FC2" w:rsidRDefault="00FB5FC2" w:rsidP="00FB5FC2">
      <w:pPr>
        <w:rPr>
          <w:rFonts w:eastAsia="Times New Roman" w:cs="Times New Roman"/>
          <w:i/>
          <w:sz w:val="20"/>
          <w:szCs w:val="24"/>
        </w:rPr>
      </w:pPr>
    </w:p>
    <w:p w14:paraId="16D78D51" w14:textId="77777777" w:rsidR="00FD2BEB" w:rsidRDefault="00FD2BEB" w:rsidP="00FB5FC2">
      <w:pPr>
        <w:rPr>
          <w:rFonts w:eastAsia="Times New Roman" w:cs="Times New Roman"/>
          <w:i/>
          <w:sz w:val="20"/>
          <w:szCs w:val="24"/>
        </w:rPr>
      </w:pPr>
    </w:p>
    <w:p w14:paraId="40E47133" w14:textId="65F9F5EF" w:rsidR="00FD2BEB" w:rsidRDefault="00FD2BEB" w:rsidP="00FD2BEB">
      <w:pPr>
        <w:rPr>
          <w:rFonts w:cs="Times New Roman"/>
          <w:sz w:val="22"/>
          <w:szCs w:val="32"/>
        </w:rPr>
      </w:pPr>
      <w:r w:rsidRPr="000904C0">
        <w:rPr>
          <w:rFonts w:asciiTheme="minorHAnsi" w:hAnsiTheme="minorHAnsi" w:cs="Times New Roman"/>
          <w:i/>
          <w:sz w:val="22"/>
          <w:szCs w:val="32"/>
        </w:rPr>
        <w:t xml:space="preserve">MoDOT Capital Funding </w:t>
      </w:r>
      <w:r>
        <w:rPr>
          <w:rFonts w:asciiTheme="minorHAnsi" w:hAnsiTheme="minorHAnsi" w:cs="Times New Roman"/>
          <w:i/>
          <w:sz w:val="22"/>
          <w:szCs w:val="32"/>
        </w:rPr>
        <w:t>–</w:t>
      </w:r>
      <w:r w:rsidRPr="000904C0">
        <w:rPr>
          <w:rFonts w:asciiTheme="minorHAnsi" w:hAnsiTheme="minorHAnsi" w:cs="Times New Roman"/>
          <w:i/>
          <w:sz w:val="22"/>
          <w:szCs w:val="32"/>
        </w:rPr>
        <w:t xml:space="preserve"> </w:t>
      </w:r>
      <w:r w:rsidRPr="000904C0">
        <w:rPr>
          <w:rFonts w:asciiTheme="minorHAnsi" w:hAnsiTheme="minorHAnsi" w:cs="Times New Roman"/>
          <w:b/>
          <w:sz w:val="22"/>
          <w:szCs w:val="32"/>
        </w:rPr>
        <w:t xml:space="preserve">first four years reflects </w:t>
      </w:r>
      <w:r>
        <w:rPr>
          <w:rFonts w:asciiTheme="minorHAnsi" w:hAnsiTheme="minorHAnsi" w:cs="Times New Roman"/>
          <w:b/>
          <w:sz w:val="22"/>
          <w:szCs w:val="32"/>
        </w:rPr>
        <w:t xml:space="preserve">what is in adopted FY 2018-2021 </w:t>
      </w:r>
      <w:r w:rsidRPr="000904C0">
        <w:rPr>
          <w:rFonts w:asciiTheme="minorHAnsi" w:hAnsiTheme="minorHAnsi" w:cs="Times New Roman"/>
          <w:b/>
          <w:sz w:val="22"/>
          <w:szCs w:val="32"/>
        </w:rPr>
        <w:t xml:space="preserve">TIP. Out years </w:t>
      </w:r>
      <w:r w:rsidR="007D1675" w:rsidRPr="000904C0">
        <w:rPr>
          <w:rFonts w:asciiTheme="minorHAnsi" w:hAnsiTheme="minorHAnsi" w:cs="Times New Roman"/>
          <w:b/>
          <w:sz w:val="22"/>
          <w:szCs w:val="32"/>
        </w:rPr>
        <w:t>remain blank pending further consultations</w:t>
      </w:r>
      <w:r w:rsidRPr="000904C0">
        <w:rPr>
          <w:rFonts w:asciiTheme="minorHAnsi" w:hAnsiTheme="minorHAnsi" w:cs="Times New Roman"/>
          <w:b/>
          <w:sz w:val="22"/>
          <w:szCs w:val="32"/>
        </w:rPr>
        <w:t xml:space="preserve"> with MoDOT Central District and Central Office contacts</w:t>
      </w:r>
      <w:r>
        <w:rPr>
          <w:rFonts w:cs="Times New Roman"/>
          <w:sz w:val="22"/>
          <w:szCs w:val="32"/>
        </w:rPr>
        <w:t xml:space="preserve">. </w:t>
      </w:r>
    </w:p>
    <w:p w14:paraId="34D073D4" w14:textId="77777777" w:rsidR="00FD2BEB" w:rsidRDefault="00FD2BEB" w:rsidP="00FB5FC2">
      <w:pPr>
        <w:rPr>
          <w:rFonts w:eastAsia="Times New Roman" w:cs="Times New Roman"/>
          <w:i/>
          <w:sz w:val="20"/>
          <w:szCs w:val="24"/>
        </w:rPr>
      </w:pPr>
    </w:p>
    <w:p w14:paraId="02181ED5" w14:textId="54D0DE9C" w:rsidR="00FB5FC2" w:rsidRDefault="00FB5FC2" w:rsidP="00FB5FC2">
      <w:pPr>
        <w:rPr>
          <w:rFonts w:cs="Times New Roman"/>
          <w:sz w:val="22"/>
          <w:szCs w:val="32"/>
        </w:rPr>
      </w:pPr>
      <w:r w:rsidRPr="00CE5D1D">
        <w:rPr>
          <w:rFonts w:cs="Times New Roman"/>
          <w:szCs w:val="32"/>
        </w:rPr>
        <w:t>For federal tax revenues, the following assumptions apply:</w:t>
      </w:r>
    </w:p>
    <w:p w14:paraId="4A74ABFA" w14:textId="77777777" w:rsidR="00FB5FC2" w:rsidRDefault="00FB5FC2" w:rsidP="00FB5FC2">
      <w:pPr>
        <w:rPr>
          <w:rFonts w:cs="Times New Roman"/>
          <w:sz w:val="22"/>
          <w:szCs w:val="32"/>
        </w:rPr>
      </w:pPr>
    </w:p>
    <w:p w14:paraId="56D170B1" w14:textId="0E546F81" w:rsidR="00CE5D1D" w:rsidRPr="00CE5D1D" w:rsidRDefault="00CE5D1D" w:rsidP="00FB5FC2">
      <w:pPr>
        <w:rPr>
          <w:rFonts w:cs="Times New Roman"/>
          <w:b/>
          <w:szCs w:val="32"/>
        </w:rPr>
      </w:pPr>
      <w:r w:rsidRPr="00CE5D1D">
        <w:rPr>
          <w:rFonts w:cs="Times New Roman"/>
          <w:b/>
          <w:szCs w:val="32"/>
        </w:rPr>
        <w:t>(FHWA)</w:t>
      </w:r>
    </w:p>
    <w:p w14:paraId="54E957AE" w14:textId="77777777" w:rsidR="00CE5D1D" w:rsidRPr="00CE5D1D" w:rsidRDefault="00CE5D1D" w:rsidP="00FB5FC2">
      <w:pPr>
        <w:rPr>
          <w:rFonts w:cs="Times New Roman"/>
          <w:szCs w:val="32"/>
        </w:rPr>
      </w:pPr>
    </w:p>
    <w:p w14:paraId="6BF8EA19" w14:textId="1C7F30D8" w:rsidR="00FB5FC2" w:rsidRDefault="00FB5FC2" w:rsidP="00FB5FC2">
      <w:pPr>
        <w:rPr>
          <w:rFonts w:cs="Times New Roman"/>
          <w:sz w:val="22"/>
          <w:szCs w:val="32"/>
        </w:rPr>
      </w:pPr>
      <w:r w:rsidRPr="00FB5FC2">
        <w:rPr>
          <w:rFonts w:asciiTheme="minorHAnsi" w:hAnsiTheme="minorHAnsi" w:cs="Times New Roman"/>
          <w:sz w:val="22"/>
          <w:szCs w:val="32"/>
        </w:rPr>
        <w:t>Non-Motorized Pilot Project -</w:t>
      </w:r>
      <w:r>
        <w:rPr>
          <w:rFonts w:cs="Times New Roman"/>
          <w:sz w:val="22"/>
          <w:szCs w:val="32"/>
        </w:rPr>
        <w:t xml:space="preserve"> </w:t>
      </w:r>
      <w:r w:rsidRPr="000904C0">
        <w:rPr>
          <w:rFonts w:asciiTheme="minorHAnsi" w:hAnsiTheme="minorHAnsi" w:cs="Times New Roman"/>
          <w:b/>
          <w:sz w:val="22"/>
          <w:szCs w:val="32"/>
        </w:rPr>
        <w:t>reflects</w:t>
      </w:r>
      <w:r>
        <w:rPr>
          <w:rFonts w:asciiTheme="minorHAnsi" w:hAnsiTheme="minorHAnsi" w:cs="Times New Roman"/>
          <w:b/>
          <w:sz w:val="22"/>
          <w:szCs w:val="32"/>
        </w:rPr>
        <w:t xml:space="preserve"> </w:t>
      </w:r>
      <w:r w:rsidRPr="000904C0">
        <w:rPr>
          <w:rFonts w:asciiTheme="minorHAnsi" w:hAnsiTheme="minorHAnsi" w:cs="Times New Roman"/>
          <w:b/>
          <w:sz w:val="22"/>
          <w:szCs w:val="32"/>
        </w:rPr>
        <w:t>adopted FY 2018-2021 TIP</w:t>
      </w:r>
      <w:r>
        <w:rPr>
          <w:rFonts w:asciiTheme="minorHAnsi" w:hAnsiTheme="minorHAnsi" w:cs="Times New Roman"/>
          <w:b/>
          <w:sz w:val="22"/>
          <w:szCs w:val="32"/>
        </w:rPr>
        <w:t xml:space="preserve">, </w:t>
      </w:r>
      <w:r w:rsidR="00E458A9">
        <w:rPr>
          <w:rFonts w:asciiTheme="minorHAnsi" w:hAnsiTheme="minorHAnsi" w:cs="Times New Roman"/>
          <w:b/>
          <w:sz w:val="22"/>
          <w:szCs w:val="32"/>
        </w:rPr>
        <w:t>program phasing out</w:t>
      </w:r>
    </w:p>
    <w:p w14:paraId="5323FDE1" w14:textId="6439E7D1" w:rsidR="00FB5FC2" w:rsidRDefault="00FB5FC2" w:rsidP="00FB5FC2">
      <w:pPr>
        <w:rPr>
          <w:rFonts w:asciiTheme="minorHAnsi" w:hAnsiTheme="minorHAnsi" w:cs="Times New Roman"/>
          <w:b/>
          <w:sz w:val="22"/>
          <w:szCs w:val="32"/>
        </w:rPr>
      </w:pPr>
      <w:r w:rsidRPr="00FB5FC2">
        <w:rPr>
          <w:rFonts w:asciiTheme="minorHAnsi" w:hAnsiTheme="minorHAnsi" w:cs="Times New Roman"/>
          <w:sz w:val="22"/>
          <w:szCs w:val="32"/>
        </w:rPr>
        <w:t>Transportation Alternative Program (TAP</w:t>
      </w:r>
      <w:r>
        <w:rPr>
          <w:rFonts w:cs="Times New Roman"/>
          <w:sz w:val="22"/>
          <w:szCs w:val="32"/>
        </w:rPr>
        <w:t xml:space="preserve">) – </w:t>
      </w:r>
      <w:r w:rsidRPr="000904C0">
        <w:rPr>
          <w:rFonts w:asciiTheme="minorHAnsi" w:hAnsiTheme="minorHAnsi" w:cs="Times New Roman"/>
          <w:b/>
          <w:sz w:val="22"/>
          <w:szCs w:val="32"/>
        </w:rPr>
        <w:t>reflects</w:t>
      </w:r>
      <w:r>
        <w:rPr>
          <w:rFonts w:asciiTheme="minorHAnsi" w:hAnsiTheme="minorHAnsi" w:cs="Times New Roman"/>
          <w:b/>
          <w:sz w:val="22"/>
          <w:szCs w:val="32"/>
        </w:rPr>
        <w:t xml:space="preserve"> </w:t>
      </w:r>
      <w:r w:rsidRPr="000904C0">
        <w:rPr>
          <w:rFonts w:asciiTheme="minorHAnsi" w:hAnsiTheme="minorHAnsi" w:cs="Times New Roman"/>
          <w:b/>
          <w:sz w:val="22"/>
          <w:szCs w:val="32"/>
        </w:rPr>
        <w:t>adopted FY 2018-2021 TIP</w:t>
      </w:r>
      <w:r>
        <w:rPr>
          <w:rFonts w:asciiTheme="minorHAnsi" w:hAnsiTheme="minorHAnsi" w:cs="Times New Roman"/>
          <w:b/>
          <w:sz w:val="22"/>
          <w:szCs w:val="32"/>
        </w:rPr>
        <w:t xml:space="preserve">, </w:t>
      </w:r>
      <w:r w:rsidR="00E458A9">
        <w:rPr>
          <w:rFonts w:asciiTheme="minorHAnsi" w:hAnsiTheme="minorHAnsi" w:cs="Times New Roman"/>
          <w:b/>
          <w:sz w:val="22"/>
          <w:szCs w:val="32"/>
        </w:rPr>
        <w:t>no assumptions for out years</w:t>
      </w:r>
    </w:p>
    <w:p w14:paraId="7A7BA196" w14:textId="2037A448" w:rsidR="00FB5FC2" w:rsidRDefault="00FB5FC2" w:rsidP="00FB5FC2">
      <w:pPr>
        <w:rPr>
          <w:rFonts w:asciiTheme="minorHAnsi" w:hAnsiTheme="minorHAnsi" w:cs="Times New Roman"/>
          <w:b/>
          <w:sz w:val="22"/>
          <w:szCs w:val="32"/>
        </w:rPr>
      </w:pPr>
      <w:r w:rsidRPr="00FB5FC2">
        <w:rPr>
          <w:rFonts w:asciiTheme="minorHAnsi" w:hAnsiTheme="minorHAnsi" w:cs="Times New Roman"/>
          <w:sz w:val="22"/>
          <w:szCs w:val="32"/>
        </w:rPr>
        <w:t xml:space="preserve">MoDOT federal </w:t>
      </w:r>
      <w:r w:rsidR="00C12E55">
        <w:rPr>
          <w:rFonts w:asciiTheme="minorHAnsi" w:hAnsiTheme="minorHAnsi" w:cs="Times New Roman"/>
          <w:sz w:val="22"/>
          <w:szCs w:val="32"/>
        </w:rPr>
        <w:t xml:space="preserve">funding </w:t>
      </w:r>
      <w:r w:rsidRPr="00FB5FC2">
        <w:rPr>
          <w:rFonts w:asciiTheme="minorHAnsi" w:hAnsiTheme="minorHAnsi" w:cs="Times New Roman"/>
          <w:sz w:val="22"/>
          <w:szCs w:val="32"/>
        </w:rPr>
        <w:t>sources</w:t>
      </w:r>
      <w:r>
        <w:rPr>
          <w:rFonts w:asciiTheme="minorHAnsi" w:hAnsiTheme="minorHAnsi" w:cs="Times New Roman"/>
          <w:sz w:val="22"/>
          <w:szCs w:val="32"/>
        </w:rPr>
        <w:t xml:space="preserve"> - </w:t>
      </w:r>
      <w:r w:rsidRPr="000904C0">
        <w:rPr>
          <w:rFonts w:asciiTheme="minorHAnsi" w:hAnsiTheme="minorHAnsi" w:cs="Times New Roman"/>
          <w:b/>
          <w:sz w:val="22"/>
          <w:szCs w:val="32"/>
        </w:rPr>
        <w:t>reflects</w:t>
      </w:r>
      <w:r>
        <w:rPr>
          <w:rFonts w:asciiTheme="minorHAnsi" w:hAnsiTheme="minorHAnsi" w:cs="Times New Roman"/>
          <w:b/>
          <w:sz w:val="22"/>
          <w:szCs w:val="32"/>
        </w:rPr>
        <w:t xml:space="preserve"> </w:t>
      </w:r>
      <w:r w:rsidRPr="000904C0">
        <w:rPr>
          <w:rFonts w:asciiTheme="minorHAnsi" w:hAnsiTheme="minorHAnsi" w:cs="Times New Roman"/>
          <w:b/>
          <w:sz w:val="22"/>
          <w:szCs w:val="32"/>
        </w:rPr>
        <w:t>adopted FY 2018-2021 TIP</w:t>
      </w:r>
    </w:p>
    <w:p w14:paraId="0919D711" w14:textId="77777777" w:rsidR="00FB5FC2" w:rsidRDefault="00FB5FC2" w:rsidP="00FB5FC2">
      <w:pPr>
        <w:rPr>
          <w:rFonts w:asciiTheme="minorHAnsi" w:hAnsiTheme="minorHAnsi" w:cs="Times New Roman"/>
          <w:b/>
          <w:sz w:val="22"/>
          <w:szCs w:val="32"/>
        </w:rPr>
      </w:pPr>
    </w:p>
    <w:p w14:paraId="3F5C6D02" w14:textId="41939BEB" w:rsidR="00FB5FC2" w:rsidRPr="00CE5D1D" w:rsidRDefault="00FB5FC2" w:rsidP="00FB5FC2">
      <w:pPr>
        <w:rPr>
          <w:rFonts w:cs="Times New Roman"/>
          <w:szCs w:val="32"/>
        </w:rPr>
      </w:pPr>
      <w:r w:rsidRPr="00CE5D1D">
        <w:rPr>
          <w:rFonts w:cs="Times New Roman"/>
          <w:szCs w:val="32"/>
        </w:rPr>
        <w:t>For the out years of above, a base amount is used and assumed flat across the remainder of the LRTP scope perio</w:t>
      </w:r>
      <w:r w:rsidR="00CE5D1D" w:rsidRPr="00CE5D1D">
        <w:rPr>
          <w:rFonts w:cs="Times New Roman"/>
          <w:szCs w:val="32"/>
        </w:rPr>
        <w:t>d</w:t>
      </w:r>
      <w:r w:rsidRPr="00CE5D1D">
        <w:rPr>
          <w:rFonts w:cs="Times New Roman"/>
          <w:szCs w:val="32"/>
        </w:rPr>
        <w:t xml:space="preserve">. </w:t>
      </w:r>
    </w:p>
    <w:p w14:paraId="584656EB" w14:textId="77777777" w:rsidR="00CE5D1D" w:rsidRDefault="00CE5D1D" w:rsidP="00FB5FC2">
      <w:pPr>
        <w:rPr>
          <w:rFonts w:asciiTheme="minorHAnsi" w:hAnsiTheme="minorHAnsi" w:cs="Times New Roman"/>
          <w:sz w:val="22"/>
          <w:szCs w:val="32"/>
        </w:rPr>
      </w:pPr>
    </w:p>
    <w:p w14:paraId="1D8151E9" w14:textId="21078057" w:rsidR="00CE5D1D" w:rsidRPr="00CE5D1D" w:rsidRDefault="00CE5D1D" w:rsidP="00FB5FC2">
      <w:pPr>
        <w:rPr>
          <w:rFonts w:cs="Times New Roman"/>
          <w:b/>
          <w:sz w:val="22"/>
          <w:szCs w:val="32"/>
        </w:rPr>
      </w:pPr>
      <w:r w:rsidRPr="00CE5D1D">
        <w:rPr>
          <w:rFonts w:cs="Times New Roman"/>
          <w:b/>
          <w:szCs w:val="32"/>
        </w:rPr>
        <w:t>(FTA)</w:t>
      </w:r>
    </w:p>
    <w:p w14:paraId="053017A3" w14:textId="77777777" w:rsidR="00CE5D1D" w:rsidRDefault="00CE5D1D" w:rsidP="00FB5FC2">
      <w:pPr>
        <w:rPr>
          <w:rFonts w:asciiTheme="minorHAnsi" w:hAnsiTheme="minorHAnsi" w:cs="Times New Roman"/>
          <w:sz w:val="22"/>
          <w:szCs w:val="32"/>
        </w:rPr>
      </w:pPr>
    </w:p>
    <w:p w14:paraId="3B5D5A4D" w14:textId="1CD91DF8" w:rsidR="00CE5D1D" w:rsidRPr="00CE5D1D" w:rsidRDefault="00CE5D1D" w:rsidP="00CE5D1D">
      <w:pPr>
        <w:rPr>
          <w:rFonts w:asciiTheme="minorHAnsi" w:hAnsiTheme="minorHAnsi" w:cs="Times New Roman"/>
          <w:sz w:val="22"/>
          <w:szCs w:val="32"/>
        </w:rPr>
      </w:pPr>
      <w:r w:rsidRPr="00CE5D1D">
        <w:rPr>
          <w:rFonts w:asciiTheme="minorHAnsi" w:hAnsiTheme="minorHAnsi" w:cs="Times New Roman"/>
          <w:sz w:val="22"/>
          <w:szCs w:val="32"/>
        </w:rPr>
        <w:t>FTA Operating</w:t>
      </w:r>
      <w:r>
        <w:rPr>
          <w:rFonts w:asciiTheme="minorHAnsi" w:hAnsiTheme="minorHAnsi" w:cs="Times New Roman"/>
          <w:sz w:val="22"/>
          <w:szCs w:val="32"/>
        </w:rPr>
        <w:t xml:space="preserve"> - </w:t>
      </w:r>
      <w:r w:rsidRPr="00CE5D1D">
        <w:rPr>
          <w:rFonts w:asciiTheme="minorHAnsi" w:hAnsiTheme="minorHAnsi" w:cs="Times New Roman"/>
          <w:b/>
          <w:sz w:val="22"/>
          <w:szCs w:val="32"/>
        </w:rPr>
        <w:t>flat</w:t>
      </w:r>
    </w:p>
    <w:p w14:paraId="37D33EF5" w14:textId="505F76D4" w:rsidR="00CE5D1D" w:rsidRPr="00CE5D1D" w:rsidRDefault="00CE5D1D" w:rsidP="00CE5D1D">
      <w:pPr>
        <w:rPr>
          <w:rFonts w:asciiTheme="minorHAnsi" w:hAnsiTheme="minorHAnsi" w:cs="Times New Roman"/>
          <w:b/>
          <w:sz w:val="22"/>
          <w:szCs w:val="32"/>
        </w:rPr>
      </w:pPr>
      <w:r w:rsidRPr="00CE5D1D">
        <w:rPr>
          <w:rFonts w:asciiTheme="minorHAnsi" w:hAnsiTheme="minorHAnsi" w:cs="Times New Roman"/>
          <w:sz w:val="22"/>
          <w:szCs w:val="32"/>
        </w:rPr>
        <w:t>FTA Capital</w:t>
      </w:r>
      <w:r>
        <w:rPr>
          <w:rFonts w:asciiTheme="minorHAnsi" w:hAnsiTheme="minorHAnsi" w:cs="Times New Roman"/>
          <w:sz w:val="22"/>
          <w:szCs w:val="32"/>
        </w:rPr>
        <w:t xml:space="preserve"> - </w:t>
      </w:r>
      <w:r w:rsidRPr="00CE5D1D">
        <w:rPr>
          <w:rFonts w:asciiTheme="minorHAnsi" w:hAnsiTheme="minorHAnsi" w:cs="Times New Roman"/>
          <w:b/>
          <w:sz w:val="22"/>
          <w:szCs w:val="32"/>
        </w:rPr>
        <w:t>flat</w:t>
      </w:r>
    </w:p>
    <w:p w14:paraId="5FE0EF9F" w14:textId="77777777" w:rsidR="00FB5FC2" w:rsidRDefault="00FB5FC2" w:rsidP="00FB5FC2">
      <w:pPr>
        <w:rPr>
          <w:rFonts w:eastAsia="Times New Roman" w:cs="Times New Roman"/>
          <w:i/>
          <w:sz w:val="20"/>
          <w:szCs w:val="24"/>
        </w:rPr>
      </w:pPr>
    </w:p>
    <w:p w14:paraId="1886BEE4" w14:textId="28CCF88F" w:rsidR="00625AF6" w:rsidRPr="00320A12" w:rsidRDefault="00320A12" w:rsidP="00320A12">
      <w:pPr>
        <w:rPr>
          <w:szCs w:val="32"/>
        </w:rPr>
      </w:pPr>
      <w:r w:rsidRPr="00320A12">
        <w:rPr>
          <w:szCs w:val="32"/>
        </w:rPr>
        <w:t>Additional presumptions will need to be made regarding City transfers for operations and maintenance for streets</w:t>
      </w:r>
      <w:r>
        <w:rPr>
          <w:szCs w:val="32"/>
        </w:rPr>
        <w:t xml:space="preserve">, </w:t>
      </w:r>
      <w:r w:rsidRPr="00320A12">
        <w:rPr>
          <w:szCs w:val="32"/>
        </w:rPr>
        <w:t>transit</w:t>
      </w:r>
      <w:r>
        <w:rPr>
          <w:szCs w:val="32"/>
        </w:rPr>
        <w:t xml:space="preserve"> and other needs</w:t>
      </w:r>
      <w:r w:rsidRPr="00320A12">
        <w:rPr>
          <w:szCs w:val="32"/>
        </w:rPr>
        <w:t xml:space="preserve"> in order to arrive at projected amount of funding available specifically for </w:t>
      </w:r>
      <w:r>
        <w:rPr>
          <w:szCs w:val="32"/>
        </w:rPr>
        <w:t xml:space="preserve">surface transportation </w:t>
      </w:r>
      <w:r w:rsidRPr="00320A12">
        <w:rPr>
          <w:szCs w:val="32"/>
        </w:rPr>
        <w:t xml:space="preserve">capital projects. </w:t>
      </w:r>
    </w:p>
    <w:p w14:paraId="4392EE65" w14:textId="77777777" w:rsidR="004D1C09" w:rsidRDefault="004D1C09" w:rsidP="00C9133E"/>
    <w:p w14:paraId="6CFF831E" w14:textId="77777777" w:rsidR="00E044DC" w:rsidRDefault="00E044DC" w:rsidP="004D1C09">
      <w:pPr>
        <w:rPr>
          <w:b/>
          <w:i/>
          <w:sz w:val="28"/>
          <w:szCs w:val="28"/>
        </w:rPr>
      </w:pPr>
    </w:p>
    <w:p w14:paraId="2D70AFB7" w14:textId="0BF097BD" w:rsidR="004D1C09" w:rsidRPr="000E4C59" w:rsidRDefault="004D1C09" w:rsidP="004D1C0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Technical </w:t>
      </w:r>
      <w:r w:rsidRPr="005317B0">
        <w:rPr>
          <w:b/>
          <w:i/>
          <w:sz w:val="28"/>
          <w:szCs w:val="28"/>
        </w:rPr>
        <w:t xml:space="preserve">Committee </w:t>
      </w:r>
      <w:r>
        <w:rPr>
          <w:b/>
          <w:i/>
          <w:sz w:val="28"/>
          <w:szCs w:val="28"/>
        </w:rPr>
        <w:t xml:space="preserve">Review </w:t>
      </w:r>
    </w:p>
    <w:p w14:paraId="76D06D0F" w14:textId="77777777" w:rsidR="004D1C09" w:rsidRDefault="004D1C09" w:rsidP="00C9133E"/>
    <w:p w14:paraId="67B71F6E" w14:textId="79376DEF" w:rsidR="004D1C09" w:rsidRDefault="004D1C09" w:rsidP="004D1C09">
      <w:r>
        <w:t>At their February 7, 2018 meeting, the CATSO Technical Committee reviewed the</w:t>
      </w:r>
      <w:r w:rsidR="00D57F6B">
        <w:t xml:space="preserve"> LRTP</w:t>
      </w:r>
      <w:r>
        <w:t xml:space="preserve"> revenue projections. A suggested revision was to indicate the annual inflation rate/revenue increase in the headings column for each revenue source, this edit has been made and is reflected in the revised spreadsheet attached. </w:t>
      </w:r>
    </w:p>
    <w:p w14:paraId="685938B9" w14:textId="77777777" w:rsidR="004D1C09" w:rsidRDefault="004D1C09" w:rsidP="00C9133E"/>
    <w:p w14:paraId="215603F8" w14:textId="77777777" w:rsidR="00E044DC" w:rsidRDefault="00E044DC" w:rsidP="00C9133E">
      <w:bookmarkStart w:id="0" w:name="_GoBack"/>
      <w:bookmarkEnd w:id="0"/>
    </w:p>
    <w:p w14:paraId="1F1CDBA9" w14:textId="4893C346" w:rsidR="00355A5E" w:rsidRPr="000E4C59" w:rsidRDefault="000E4C59" w:rsidP="00720999">
      <w:pPr>
        <w:rPr>
          <w:b/>
          <w:i/>
          <w:sz w:val="28"/>
          <w:szCs w:val="28"/>
        </w:rPr>
      </w:pPr>
      <w:r w:rsidRPr="005317B0">
        <w:rPr>
          <w:b/>
          <w:i/>
          <w:sz w:val="28"/>
          <w:szCs w:val="28"/>
        </w:rPr>
        <w:t xml:space="preserve">Suggested </w:t>
      </w:r>
      <w:r w:rsidR="004D1C09">
        <w:rPr>
          <w:b/>
          <w:i/>
          <w:sz w:val="28"/>
          <w:szCs w:val="28"/>
        </w:rPr>
        <w:t xml:space="preserve">Coordinating </w:t>
      </w:r>
      <w:r w:rsidRPr="005317B0">
        <w:rPr>
          <w:b/>
          <w:i/>
          <w:sz w:val="28"/>
          <w:szCs w:val="28"/>
        </w:rPr>
        <w:t>Committee Action</w:t>
      </w:r>
    </w:p>
    <w:p w14:paraId="6B330094" w14:textId="7E89AD32" w:rsidR="000E4C59" w:rsidRPr="00681E97" w:rsidRDefault="000E4C59" w:rsidP="000E4C59">
      <w:r w:rsidRPr="00681E97">
        <w:t>S</w:t>
      </w:r>
      <w:r w:rsidR="00AC2CBB">
        <w:t>taff requests that the Coordinating</w:t>
      </w:r>
      <w:r w:rsidRPr="00681E97">
        <w:t xml:space="preserve"> Committee </w:t>
      </w:r>
      <w:r w:rsidR="00A86A2C">
        <w:t xml:space="preserve">offer any suggestions for revisions to the assumptions utilized in preparing the draft projections. </w:t>
      </w:r>
    </w:p>
    <w:p w14:paraId="5081CE81" w14:textId="77777777" w:rsidR="00CB46FB" w:rsidRDefault="00CB46FB" w:rsidP="00720999"/>
    <w:p w14:paraId="1EDC0DC5" w14:textId="77777777" w:rsidR="00CB46FB" w:rsidRDefault="00CB46FB" w:rsidP="00720999"/>
    <w:p w14:paraId="7B090F69" w14:textId="77777777" w:rsidR="00CB46FB" w:rsidRDefault="00CB46FB" w:rsidP="00720999"/>
    <w:p w14:paraId="5D37D291" w14:textId="77777777" w:rsidR="00CB46FB" w:rsidRDefault="00CB46FB" w:rsidP="00CB46FB">
      <w:pPr>
        <w:jc w:val="center"/>
        <w:rPr>
          <w:b/>
          <w:sz w:val="32"/>
          <w:szCs w:val="32"/>
        </w:rPr>
      </w:pPr>
    </w:p>
    <w:p w14:paraId="23F731A2" w14:textId="77777777" w:rsidR="00CB46FB" w:rsidRDefault="00CB46FB" w:rsidP="00720999"/>
    <w:sectPr w:rsidR="00CB4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9"/>
    <w:rsid w:val="000103CA"/>
    <w:rsid w:val="00032003"/>
    <w:rsid w:val="00050C82"/>
    <w:rsid w:val="00060A03"/>
    <w:rsid w:val="0006787F"/>
    <w:rsid w:val="00075510"/>
    <w:rsid w:val="00087B8C"/>
    <w:rsid w:val="000904C0"/>
    <w:rsid w:val="000B6057"/>
    <w:rsid w:val="000C1A32"/>
    <w:rsid w:val="000D1C67"/>
    <w:rsid w:val="000E43EF"/>
    <w:rsid w:val="000E4C59"/>
    <w:rsid w:val="00100C79"/>
    <w:rsid w:val="00104DA6"/>
    <w:rsid w:val="00126EB4"/>
    <w:rsid w:val="00132A8C"/>
    <w:rsid w:val="001500DB"/>
    <w:rsid w:val="00164816"/>
    <w:rsid w:val="0018130E"/>
    <w:rsid w:val="00183324"/>
    <w:rsid w:val="001C628F"/>
    <w:rsid w:val="001F5638"/>
    <w:rsid w:val="0020051A"/>
    <w:rsid w:val="00231554"/>
    <w:rsid w:val="002372CE"/>
    <w:rsid w:val="00245039"/>
    <w:rsid w:val="002552F5"/>
    <w:rsid w:val="00286AEB"/>
    <w:rsid w:val="002B5F60"/>
    <w:rsid w:val="002E6BC4"/>
    <w:rsid w:val="00320A12"/>
    <w:rsid w:val="00326577"/>
    <w:rsid w:val="0033658D"/>
    <w:rsid w:val="00355A5E"/>
    <w:rsid w:val="00367230"/>
    <w:rsid w:val="00370FD6"/>
    <w:rsid w:val="00376297"/>
    <w:rsid w:val="003B0782"/>
    <w:rsid w:val="003B2043"/>
    <w:rsid w:val="003C42B7"/>
    <w:rsid w:val="003C5DB7"/>
    <w:rsid w:val="003D1FEA"/>
    <w:rsid w:val="003D7D92"/>
    <w:rsid w:val="003E63AD"/>
    <w:rsid w:val="004125BC"/>
    <w:rsid w:val="004266B7"/>
    <w:rsid w:val="00457674"/>
    <w:rsid w:val="00490FCA"/>
    <w:rsid w:val="0049216A"/>
    <w:rsid w:val="004C3443"/>
    <w:rsid w:val="004D1C09"/>
    <w:rsid w:val="004D5A92"/>
    <w:rsid w:val="004E3E50"/>
    <w:rsid w:val="005007F6"/>
    <w:rsid w:val="00523A32"/>
    <w:rsid w:val="00532FF9"/>
    <w:rsid w:val="00550BA6"/>
    <w:rsid w:val="0057029F"/>
    <w:rsid w:val="00571FB1"/>
    <w:rsid w:val="0059367F"/>
    <w:rsid w:val="00594EF1"/>
    <w:rsid w:val="005A7061"/>
    <w:rsid w:val="005A72C2"/>
    <w:rsid w:val="005A771A"/>
    <w:rsid w:val="005B1E1F"/>
    <w:rsid w:val="005C7FE4"/>
    <w:rsid w:val="005D054E"/>
    <w:rsid w:val="005E265F"/>
    <w:rsid w:val="005E3AD5"/>
    <w:rsid w:val="00620616"/>
    <w:rsid w:val="00625AF6"/>
    <w:rsid w:val="0063776E"/>
    <w:rsid w:val="00645231"/>
    <w:rsid w:val="006453FB"/>
    <w:rsid w:val="006822A3"/>
    <w:rsid w:val="006A57B2"/>
    <w:rsid w:val="006B2045"/>
    <w:rsid w:val="006E7C42"/>
    <w:rsid w:val="00701CA6"/>
    <w:rsid w:val="007067D9"/>
    <w:rsid w:val="00720999"/>
    <w:rsid w:val="007600F5"/>
    <w:rsid w:val="0076397B"/>
    <w:rsid w:val="007643D9"/>
    <w:rsid w:val="00764A3A"/>
    <w:rsid w:val="00764C7A"/>
    <w:rsid w:val="00777C71"/>
    <w:rsid w:val="007907BC"/>
    <w:rsid w:val="007C1FCA"/>
    <w:rsid w:val="007C218C"/>
    <w:rsid w:val="007D1675"/>
    <w:rsid w:val="007E6491"/>
    <w:rsid w:val="007F03C3"/>
    <w:rsid w:val="0082611D"/>
    <w:rsid w:val="0085301E"/>
    <w:rsid w:val="00881EBA"/>
    <w:rsid w:val="008822B4"/>
    <w:rsid w:val="00883CB7"/>
    <w:rsid w:val="008A0FF8"/>
    <w:rsid w:val="008C6369"/>
    <w:rsid w:val="008E7819"/>
    <w:rsid w:val="008F39C3"/>
    <w:rsid w:val="00913591"/>
    <w:rsid w:val="009207E4"/>
    <w:rsid w:val="0095458E"/>
    <w:rsid w:val="009560A2"/>
    <w:rsid w:val="009844C8"/>
    <w:rsid w:val="009D15C7"/>
    <w:rsid w:val="009F0339"/>
    <w:rsid w:val="00A449DE"/>
    <w:rsid w:val="00A6180B"/>
    <w:rsid w:val="00A82F5D"/>
    <w:rsid w:val="00A86A2C"/>
    <w:rsid w:val="00AC1002"/>
    <w:rsid w:val="00AC2CBB"/>
    <w:rsid w:val="00AC4125"/>
    <w:rsid w:val="00AC798E"/>
    <w:rsid w:val="00AC7B03"/>
    <w:rsid w:val="00AD2D06"/>
    <w:rsid w:val="00AF78F4"/>
    <w:rsid w:val="00B24F3F"/>
    <w:rsid w:val="00B349D9"/>
    <w:rsid w:val="00B364AB"/>
    <w:rsid w:val="00B4582E"/>
    <w:rsid w:val="00B548E0"/>
    <w:rsid w:val="00B54FEB"/>
    <w:rsid w:val="00BE5A94"/>
    <w:rsid w:val="00BF5E6E"/>
    <w:rsid w:val="00C12E55"/>
    <w:rsid w:val="00C43271"/>
    <w:rsid w:val="00C711AE"/>
    <w:rsid w:val="00C736A1"/>
    <w:rsid w:val="00C807F2"/>
    <w:rsid w:val="00C9133E"/>
    <w:rsid w:val="00C95F4D"/>
    <w:rsid w:val="00CA2D02"/>
    <w:rsid w:val="00CB46FB"/>
    <w:rsid w:val="00CC67EA"/>
    <w:rsid w:val="00CC6A81"/>
    <w:rsid w:val="00CE2693"/>
    <w:rsid w:val="00CE5D1D"/>
    <w:rsid w:val="00CF368B"/>
    <w:rsid w:val="00D3108B"/>
    <w:rsid w:val="00D41CB3"/>
    <w:rsid w:val="00D57F6B"/>
    <w:rsid w:val="00D60935"/>
    <w:rsid w:val="00D7291B"/>
    <w:rsid w:val="00D770A0"/>
    <w:rsid w:val="00D77635"/>
    <w:rsid w:val="00DC698B"/>
    <w:rsid w:val="00DD0E70"/>
    <w:rsid w:val="00DD4FD5"/>
    <w:rsid w:val="00DD6D83"/>
    <w:rsid w:val="00DE5EF4"/>
    <w:rsid w:val="00DF051D"/>
    <w:rsid w:val="00DF75FE"/>
    <w:rsid w:val="00E044DC"/>
    <w:rsid w:val="00E174EF"/>
    <w:rsid w:val="00E458A9"/>
    <w:rsid w:val="00E465A1"/>
    <w:rsid w:val="00E75B53"/>
    <w:rsid w:val="00E82666"/>
    <w:rsid w:val="00EA54F8"/>
    <w:rsid w:val="00EA5D23"/>
    <w:rsid w:val="00EE2C7C"/>
    <w:rsid w:val="00EE2E0E"/>
    <w:rsid w:val="00F40EB8"/>
    <w:rsid w:val="00F44821"/>
    <w:rsid w:val="00F647D6"/>
    <w:rsid w:val="00F778E8"/>
    <w:rsid w:val="00F81C6D"/>
    <w:rsid w:val="00F870E0"/>
    <w:rsid w:val="00FB0335"/>
    <w:rsid w:val="00FB5FC2"/>
    <w:rsid w:val="00FD2BEB"/>
    <w:rsid w:val="00FD6B23"/>
    <w:rsid w:val="00FE51A8"/>
    <w:rsid w:val="00FF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4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627B7A28AAB4C9472AA41D650945B" ma:contentTypeVersion="1" ma:contentTypeDescription="Create a new document." ma:contentTypeScope="" ma:versionID="f1e653df2f7ca24b2e2a58bdbe88037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3A20544-91BC-412A-9828-11C685EEC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ECF81-3A07-44B5-A262-7F9659F95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0C7E1-107D-4027-BFEF-54F5DA39B24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S. Miller</dc:creator>
  <cp:lastModifiedBy>Mitch Skov</cp:lastModifiedBy>
  <cp:revision>8</cp:revision>
  <cp:lastPrinted>2017-08-10T13:08:00Z</cp:lastPrinted>
  <dcterms:created xsi:type="dcterms:W3CDTF">2018-02-15T17:02:00Z</dcterms:created>
  <dcterms:modified xsi:type="dcterms:W3CDTF">2018-02-16T16:30:00Z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0x01010029D627B7A28AAB4C9472AA41D650945B</vt:lpwstr>
  </property>
</Properties>
</file>