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914AC" w14:textId="77777777" w:rsidR="00DE5EF4" w:rsidRDefault="00DE5EF4" w:rsidP="00DE5EF4">
      <w:pPr>
        <w:ind w:left="1260" w:hanging="1260"/>
      </w:pPr>
      <w:r>
        <w:t>TO: CATSO Technical Committee</w:t>
      </w:r>
    </w:p>
    <w:p w14:paraId="094B10AF" w14:textId="77777777" w:rsidR="00DE5EF4" w:rsidRDefault="00DE5EF4" w:rsidP="00DE5EF4"/>
    <w:p w14:paraId="1FCBC957" w14:textId="77777777" w:rsidR="00DE5EF4" w:rsidRDefault="00DE5EF4" w:rsidP="00DE5EF4">
      <w:r>
        <w:t>FROM: CATSO Staff</w:t>
      </w:r>
    </w:p>
    <w:p w14:paraId="67F7D82F" w14:textId="77777777" w:rsidR="00DE5EF4" w:rsidRDefault="00DE5EF4" w:rsidP="00DE5EF4"/>
    <w:p w14:paraId="2A2D6B27" w14:textId="63496607" w:rsidR="00DE5EF4" w:rsidRDefault="00DE5EF4" w:rsidP="00DE5EF4">
      <w:pPr>
        <w:widowControl w:val="0"/>
        <w:jc w:val="both"/>
      </w:pPr>
      <w:r>
        <w:t xml:space="preserve">SUBJECT: </w:t>
      </w:r>
      <w:r w:rsidR="00C711AE">
        <w:t xml:space="preserve">Item </w:t>
      </w:r>
      <w:r w:rsidR="00303884">
        <w:t xml:space="preserve">5 </w:t>
      </w:r>
      <w:r w:rsidR="00C711AE">
        <w:t xml:space="preserve">- </w:t>
      </w:r>
      <w:r>
        <w:t>F</w:t>
      </w:r>
      <w:r w:rsidR="003C42B7">
        <w:t>AST Act Safety</w:t>
      </w:r>
      <w:r>
        <w:t xml:space="preserve"> Targets</w:t>
      </w:r>
      <w:r w:rsidR="003C42B7">
        <w:t>/Adoption of Vision Zero</w:t>
      </w:r>
      <w:r>
        <w:t xml:space="preserve"> </w:t>
      </w:r>
    </w:p>
    <w:p w14:paraId="2B74761C" w14:textId="77777777" w:rsidR="00DE5EF4" w:rsidRDefault="00DE5EF4" w:rsidP="00DE5EF4">
      <w:r>
        <w:t xml:space="preserve"> </w:t>
      </w:r>
    </w:p>
    <w:p w14:paraId="2DE3D9D4" w14:textId="4D4BACED" w:rsidR="00DE5EF4" w:rsidRDefault="00DE5EF4" w:rsidP="00DE5EF4">
      <w:r>
        <w:t xml:space="preserve">DATE: </w:t>
      </w:r>
      <w:r w:rsidR="00883CB7">
        <w:t>February 7</w:t>
      </w:r>
      <w:r>
        <w:t xml:space="preserve">, </w:t>
      </w:r>
      <w:r w:rsidR="00883CB7">
        <w:t>2018</w:t>
      </w:r>
    </w:p>
    <w:p w14:paraId="6A3CCD3A" w14:textId="77777777" w:rsidR="00DE5EF4" w:rsidRDefault="00DE5EF4" w:rsidP="00720999">
      <w:pPr>
        <w:jc w:val="center"/>
        <w:rPr>
          <w:b/>
          <w:sz w:val="32"/>
          <w:szCs w:val="32"/>
        </w:rPr>
      </w:pPr>
    </w:p>
    <w:p w14:paraId="53BD010B" w14:textId="3E218348" w:rsidR="007C218C" w:rsidRDefault="007C218C" w:rsidP="007C218C">
      <w:pPr>
        <w:jc w:val="both"/>
      </w:pPr>
      <w:r>
        <w:t xml:space="preserve">The federal Map-21 legislation established, and the Fast Act continues, a performance-based approach to transportation projects. Seven national performance goals were established for the Federal-Aid Highway Program. From these seven goals, fifteen performance measures were developed for states, </w:t>
      </w:r>
      <w:r w:rsidR="00EE2E0E">
        <w:t>Metropolitan Planning Organizations (</w:t>
      </w:r>
      <w:r>
        <w:t>MPOs</w:t>
      </w:r>
      <w:r w:rsidR="00EE2E0E">
        <w:t>)</w:t>
      </w:r>
      <w:r>
        <w:t>, and transit agencies, which are required to set goals and monitor pr</w:t>
      </w:r>
      <w:r w:rsidR="00DD6D83">
        <w:t>ogress. Safety is the second</w:t>
      </w:r>
      <w:r>
        <w:t xml:space="preserve"> performance measure for which targets must be set. </w:t>
      </w:r>
      <w:r w:rsidR="00376297">
        <w:t>CATSO finalized</w:t>
      </w:r>
      <w:r w:rsidR="00DD6D83">
        <w:t xml:space="preserve"> and adopted Transit Asset </w:t>
      </w:r>
      <w:r w:rsidR="00E75B53">
        <w:t xml:space="preserve">Management </w:t>
      </w:r>
      <w:r w:rsidR="00DD6D83">
        <w:t>perfo</w:t>
      </w:r>
      <w:r w:rsidR="00F44821">
        <w:t>rmance measures in November 2017</w:t>
      </w:r>
      <w:r w:rsidR="00DD6D83">
        <w:t xml:space="preserve">. </w:t>
      </w:r>
      <w:r>
        <w:t xml:space="preserve">Additional targets will be developed by CATSO as required. </w:t>
      </w:r>
    </w:p>
    <w:p w14:paraId="59D33236" w14:textId="77777777" w:rsidR="00E75B53" w:rsidRDefault="00E75B53" w:rsidP="007C218C">
      <w:pPr>
        <w:jc w:val="both"/>
      </w:pPr>
    </w:p>
    <w:p w14:paraId="0D4E8EB9" w14:textId="111C2D89" w:rsidR="006A57B2" w:rsidRDefault="00D3108B" w:rsidP="006A57B2">
      <w:pPr>
        <w:jc w:val="both"/>
      </w:pPr>
      <w:r>
        <w:t xml:space="preserve">Accordingly, </w:t>
      </w:r>
      <w:r w:rsidR="00CE2693">
        <w:t>CATSO is</w:t>
      </w:r>
      <w:r w:rsidR="006A57B2">
        <w:t xml:space="preserve"> required to develop </w:t>
      </w:r>
      <w:r w:rsidR="002372CE">
        <w:t xml:space="preserve">and adopt </w:t>
      </w:r>
      <w:r w:rsidR="00CE2693">
        <w:t>safet</w:t>
      </w:r>
      <w:r w:rsidR="00CC6A81">
        <w:t>y targets based on</w:t>
      </w:r>
      <w:r w:rsidR="002372CE">
        <w:t xml:space="preserve"> </w:t>
      </w:r>
      <w:r w:rsidR="00BF5E6E">
        <w:t xml:space="preserve">the </w:t>
      </w:r>
      <w:r w:rsidR="00CC6A81">
        <w:t xml:space="preserve">annual </w:t>
      </w:r>
      <w:r w:rsidR="002372CE">
        <w:t>number and rate</w:t>
      </w:r>
      <w:r w:rsidR="00BF5E6E">
        <w:t xml:space="preserve"> of traffic fatalities</w:t>
      </w:r>
      <w:r w:rsidR="00C807F2">
        <w:t xml:space="preserve"> and serious injuries</w:t>
      </w:r>
      <w:r w:rsidR="00CC6A81">
        <w:t>, and</w:t>
      </w:r>
      <w:r w:rsidR="00BF5E6E">
        <w:t xml:space="preserve"> the </w:t>
      </w:r>
      <w:r w:rsidR="00CC6A81">
        <w:t xml:space="preserve">annual </w:t>
      </w:r>
      <w:r w:rsidR="00BF5E6E">
        <w:t>number of vulnerable roadway user fatalities and serious injuries</w:t>
      </w:r>
      <w:r w:rsidR="00CC6A81">
        <w:t>,</w:t>
      </w:r>
      <w:r w:rsidR="00BF5E6E">
        <w:t xml:space="preserve"> with</w:t>
      </w:r>
      <w:r w:rsidR="00C807F2">
        <w:t>in</w:t>
      </w:r>
      <w:r w:rsidR="00EE2E0E">
        <w:t xml:space="preserve"> its</w:t>
      </w:r>
      <w:r w:rsidR="00BF5E6E">
        <w:t xml:space="preserve"> Me</w:t>
      </w:r>
      <w:r w:rsidR="00C807F2">
        <w:t>tropolitan Planning Area</w:t>
      </w:r>
      <w:r>
        <w:t xml:space="preserve"> </w:t>
      </w:r>
      <w:r w:rsidR="00C807F2">
        <w:t>(MPA)</w:t>
      </w:r>
      <w:r>
        <w:t xml:space="preserve">. </w:t>
      </w:r>
      <w:r w:rsidR="00EE2E0E">
        <w:t xml:space="preserve">All </w:t>
      </w:r>
      <w:r w:rsidR="0033658D">
        <w:t xml:space="preserve">Missouri </w:t>
      </w:r>
      <w:r w:rsidR="00EE2E0E">
        <w:t>MPOs</w:t>
      </w:r>
      <w:r w:rsidR="0033658D">
        <w:t>, including CATSO,</w:t>
      </w:r>
      <w:r w:rsidR="00EE2E0E">
        <w:t xml:space="preserve"> have the</w:t>
      </w:r>
      <w:r w:rsidR="0033658D">
        <w:t xml:space="preserve"> choice to adopt the </w:t>
      </w:r>
      <w:r w:rsidR="00620616">
        <w:t>safety targets set by the Missouri Department of Transportation (MoDOT) or set their own</w:t>
      </w:r>
      <w:r w:rsidR="006E7C42">
        <w:t xml:space="preserve"> by February 27, 2018</w:t>
      </w:r>
      <w:r w:rsidR="00620616">
        <w:t xml:space="preserve">. </w:t>
      </w:r>
    </w:p>
    <w:p w14:paraId="35F228C9" w14:textId="77777777" w:rsidR="00620616" w:rsidRDefault="00620616" w:rsidP="006A57B2">
      <w:pPr>
        <w:jc w:val="both"/>
      </w:pPr>
    </w:p>
    <w:p w14:paraId="2613897A" w14:textId="526EEE92" w:rsidR="00620616" w:rsidRDefault="00C95F4D" w:rsidP="006A57B2">
      <w:pPr>
        <w:jc w:val="both"/>
      </w:pPr>
      <w:r>
        <w:t>Given that</w:t>
      </w:r>
      <w:r w:rsidR="00620616">
        <w:t xml:space="preserve"> the City of Columbia adopted a Vision Zero Action Plan in 2017, with a goal of zero traffic deaths and serious injuries by 20</w:t>
      </w:r>
      <w:r w:rsidR="000B6057">
        <w:t>30, s</w:t>
      </w:r>
      <w:r w:rsidR="00645231">
        <w:t>t</w:t>
      </w:r>
      <w:r w:rsidR="000E4C59">
        <w:t xml:space="preserve">aff recommends </w:t>
      </w:r>
      <w:r w:rsidR="008A0FF8">
        <w:t>that in lieu of the safety targets set by MoDOT</w:t>
      </w:r>
      <w:r w:rsidR="00E174EF">
        <w:t>,</w:t>
      </w:r>
      <w:r w:rsidR="008A0FF8">
        <w:t xml:space="preserve"> </w:t>
      </w:r>
      <w:r w:rsidR="000E4C59">
        <w:t xml:space="preserve">CATSO consider the </w:t>
      </w:r>
      <w:r w:rsidR="00B4582E">
        <w:t>adopt</w:t>
      </w:r>
      <w:r w:rsidR="000E4C59">
        <w:t>ion of</w:t>
      </w:r>
      <w:r w:rsidR="00B4582E">
        <w:t xml:space="preserve"> </w:t>
      </w:r>
      <w:r w:rsidR="00620616">
        <w:t>Vision Zero</w:t>
      </w:r>
      <w:r w:rsidR="00367230">
        <w:t xml:space="preserve"> 2030</w:t>
      </w:r>
      <w:r w:rsidR="00620616">
        <w:t xml:space="preserve"> and its corresponding safety targets</w:t>
      </w:r>
      <w:r w:rsidR="00367230">
        <w:t>.</w:t>
      </w:r>
      <w:r w:rsidR="000B6057">
        <w:t xml:space="preserve"> </w:t>
      </w:r>
      <w:r w:rsidR="0018130E">
        <w:t xml:space="preserve">A demonstration </w:t>
      </w:r>
      <w:r w:rsidR="00701CA6">
        <w:t>of</w:t>
      </w:r>
      <w:r w:rsidR="000E4C59">
        <w:t xml:space="preserve"> both sets of potential targets is provided </w:t>
      </w:r>
      <w:r w:rsidR="006B2045">
        <w:t xml:space="preserve">on the following pages </w:t>
      </w:r>
      <w:r w:rsidR="000E4C59">
        <w:t>for the Technical Committee</w:t>
      </w:r>
      <w:r w:rsidR="0085301E">
        <w:t>’s</w:t>
      </w:r>
      <w:r w:rsidR="000E4C59">
        <w:t xml:space="preserve"> consideration. </w:t>
      </w:r>
    </w:p>
    <w:p w14:paraId="399A076F" w14:textId="77777777" w:rsidR="00DE5EF4" w:rsidRDefault="00DE5EF4" w:rsidP="002372CE">
      <w:pPr>
        <w:rPr>
          <w:b/>
          <w:sz w:val="32"/>
          <w:szCs w:val="32"/>
        </w:rPr>
      </w:pPr>
    </w:p>
    <w:p w14:paraId="651BED3C" w14:textId="77777777" w:rsidR="00DE5EF4" w:rsidRDefault="00DE5EF4" w:rsidP="00720999">
      <w:pPr>
        <w:jc w:val="center"/>
        <w:rPr>
          <w:b/>
          <w:sz w:val="32"/>
          <w:szCs w:val="32"/>
        </w:rPr>
      </w:pPr>
    </w:p>
    <w:p w14:paraId="4EB2BF8A" w14:textId="77777777" w:rsidR="00625AF6" w:rsidRDefault="00625AF6" w:rsidP="00720999">
      <w:pPr>
        <w:jc w:val="center"/>
        <w:rPr>
          <w:b/>
          <w:sz w:val="32"/>
          <w:szCs w:val="32"/>
        </w:rPr>
      </w:pPr>
    </w:p>
    <w:p w14:paraId="3A6AE0C8" w14:textId="77777777" w:rsidR="00625AF6" w:rsidRDefault="00625AF6" w:rsidP="00720999">
      <w:pPr>
        <w:jc w:val="center"/>
        <w:rPr>
          <w:b/>
          <w:sz w:val="32"/>
          <w:szCs w:val="32"/>
        </w:rPr>
      </w:pPr>
    </w:p>
    <w:p w14:paraId="313E35B8" w14:textId="77777777" w:rsidR="00625AF6" w:rsidRDefault="00625AF6" w:rsidP="00720999">
      <w:pPr>
        <w:jc w:val="center"/>
        <w:rPr>
          <w:b/>
          <w:sz w:val="32"/>
          <w:szCs w:val="32"/>
        </w:rPr>
      </w:pPr>
    </w:p>
    <w:p w14:paraId="3A9F9E40" w14:textId="77777777" w:rsidR="00625AF6" w:rsidRDefault="00625AF6" w:rsidP="00720999">
      <w:pPr>
        <w:jc w:val="center"/>
        <w:rPr>
          <w:b/>
          <w:sz w:val="32"/>
          <w:szCs w:val="32"/>
        </w:rPr>
      </w:pPr>
    </w:p>
    <w:p w14:paraId="1886BEE4" w14:textId="77777777" w:rsidR="00625AF6" w:rsidRDefault="00625AF6" w:rsidP="00720999">
      <w:pPr>
        <w:jc w:val="center"/>
        <w:rPr>
          <w:b/>
          <w:sz w:val="32"/>
          <w:szCs w:val="32"/>
        </w:rPr>
      </w:pPr>
    </w:p>
    <w:p w14:paraId="0455E8CE" w14:textId="77777777" w:rsidR="00625AF6" w:rsidRDefault="00625AF6" w:rsidP="00720999">
      <w:pPr>
        <w:jc w:val="center"/>
        <w:rPr>
          <w:b/>
          <w:sz w:val="32"/>
          <w:szCs w:val="32"/>
        </w:rPr>
      </w:pPr>
    </w:p>
    <w:p w14:paraId="6ED0CE3F" w14:textId="77777777" w:rsidR="00625AF6" w:rsidRDefault="00625AF6" w:rsidP="00720999">
      <w:pPr>
        <w:jc w:val="center"/>
        <w:rPr>
          <w:b/>
          <w:sz w:val="32"/>
          <w:szCs w:val="32"/>
        </w:rPr>
      </w:pPr>
    </w:p>
    <w:p w14:paraId="5B85358E" w14:textId="77777777" w:rsidR="00625AF6" w:rsidRDefault="00625AF6" w:rsidP="00720999">
      <w:pPr>
        <w:jc w:val="center"/>
        <w:rPr>
          <w:b/>
          <w:sz w:val="32"/>
          <w:szCs w:val="32"/>
        </w:rPr>
      </w:pPr>
    </w:p>
    <w:p w14:paraId="20646D5E" w14:textId="77777777" w:rsidR="00625AF6" w:rsidRDefault="00625AF6" w:rsidP="00720999">
      <w:pPr>
        <w:jc w:val="center"/>
        <w:rPr>
          <w:b/>
          <w:sz w:val="32"/>
          <w:szCs w:val="32"/>
        </w:rPr>
      </w:pPr>
    </w:p>
    <w:p w14:paraId="47C46E63" w14:textId="77777777" w:rsidR="00625AF6" w:rsidRDefault="00625AF6" w:rsidP="00720999">
      <w:pPr>
        <w:jc w:val="center"/>
        <w:rPr>
          <w:b/>
          <w:sz w:val="32"/>
          <w:szCs w:val="32"/>
        </w:rPr>
      </w:pPr>
    </w:p>
    <w:p w14:paraId="02650D56" w14:textId="77777777" w:rsidR="00625AF6" w:rsidRDefault="00625AF6" w:rsidP="0036439A">
      <w:pPr>
        <w:rPr>
          <w:b/>
          <w:sz w:val="32"/>
          <w:szCs w:val="32"/>
        </w:rPr>
      </w:pPr>
    </w:p>
    <w:p w14:paraId="3690BB4B" w14:textId="77777777" w:rsidR="0036439A" w:rsidRDefault="0036439A" w:rsidP="0036439A">
      <w:pPr>
        <w:rPr>
          <w:b/>
          <w:sz w:val="32"/>
          <w:szCs w:val="32"/>
        </w:rPr>
      </w:pPr>
    </w:p>
    <w:p w14:paraId="09DE1A8A" w14:textId="12BA7320" w:rsidR="006B2045" w:rsidRPr="008B07C8" w:rsidRDefault="006B2045" w:rsidP="006B2045">
      <w:pPr>
        <w:rPr>
          <w:rFonts w:eastAsia="Times New Roman" w:cs="Times New Roman"/>
          <w:i/>
          <w:sz w:val="20"/>
          <w:szCs w:val="24"/>
        </w:rPr>
      </w:pPr>
      <w:r>
        <w:rPr>
          <w:rFonts w:eastAsia="Times New Roman" w:cs="Times New Roman"/>
          <w:i/>
          <w:sz w:val="20"/>
          <w:szCs w:val="24"/>
        </w:rPr>
        <w:t xml:space="preserve">Item </w:t>
      </w:r>
      <w:r w:rsidR="00303884">
        <w:rPr>
          <w:rFonts w:eastAsia="Times New Roman" w:cs="Times New Roman"/>
          <w:i/>
          <w:sz w:val="20"/>
          <w:szCs w:val="24"/>
        </w:rPr>
        <w:t xml:space="preserve">5 </w:t>
      </w:r>
      <w:r w:rsidRPr="008B07C8">
        <w:rPr>
          <w:rFonts w:eastAsia="Times New Roman" w:cs="Times New Roman"/>
          <w:i/>
          <w:sz w:val="20"/>
          <w:szCs w:val="24"/>
        </w:rPr>
        <w:t xml:space="preserve">– </w:t>
      </w:r>
      <w:r w:rsidR="00183324">
        <w:rPr>
          <w:rFonts w:eastAsia="Times New Roman" w:cs="Times New Roman"/>
          <w:i/>
          <w:sz w:val="20"/>
          <w:szCs w:val="24"/>
        </w:rPr>
        <w:t>February</w:t>
      </w:r>
      <w:r w:rsidR="00E82666">
        <w:rPr>
          <w:rFonts w:eastAsia="Times New Roman" w:cs="Times New Roman"/>
          <w:i/>
          <w:sz w:val="20"/>
          <w:szCs w:val="24"/>
        </w:rPr>
        <w:t xml:space="preserve"> </w:t>
      </w:r>
      <w:r w:rsidR="00183324">
        <w:rPr>
          <w:rFonts w:eastAsia="Times New Roman" w:cs="Times New Roman"/>
          <w:i/>
          <w:sz w:val="20"/>
          <w:szCs w:val="24"/>
        </w:rPr>
        <w:t>7</w:t>
      </w:r>
      <w:r>
        <w:rPr>
          <w:rFonts w:eastAsia="Times New Roman" w:cs="Times New Roman"/>
          <w:i/>
          <w:sz w:val="20"/>
          <w:szCs w:val="24"/>
        </w:rPr>
        <w:t>, 201</w:t>
      </w:r>
      <w:r w:rsidR="00183324">
        <w:rPr>
          <w:rFonts w:eastAsia="Times New Roman" w:cs="Times New Roman"/>
          <w:i/>
          <w:sz w:val="20"/>
          <w:szCs w:val="24"/>
        </w:rPr>
        <w:t xml:space="preserve">8 </w:t>
      </w:r>
      <w:r w:rsidRPr="008B07C8">
        <w:rPr>
          <w:rFonts w:eastAsia="Times New Roman" w:cs="Times New Roman"/>
          <w:i/>
          <w:sz w:val="20"/>
          <w:szCs w:val="24"/>
        </w:rPr>
        <w:t xml:space="preserve">CATSO </w:t>
      </w:r>
      <w:r>
        <w:rPr>
          <w:rFonts w:eastAsia="Times New Roman" w:cs="Times New Roman"/>
          <w:i/>
          <w:sz w:val="20"/>
          <w:szCs w:val="24"/>
        </w:rPr>
        <w:t xml:space="preserve">Technical </w:t>
      </w:r>
      <w:r w:rsidRPr="008B07C8">
        <w:rPr>
          <w:rFonts w:eastAsia="Times New Roman" w:cs="Times New Roman"/>
          <w:i/>
          <w:sz w:val="20"/>
          <w:szCs w:val="24"/>
        </w:rPr>
        <w:t xml:space="preserve">– </w:t>
      </w:r>
      <w:r w:rsidR="00183324">
        <w:rPr>
          <w:rFonts w:eastAsia="Times New Roman" w:cs="Times New Roman"/>
          <w:i/>
          <w:sz w:val="20"/>
          <w:szCs w:val="24"/>
        </w:rPr>
        <w:t>Fast Act</w:t>
      </w:r>
      <w:r w:rsidR="00F77DF9">
        <w:rPr>
          <w:rFonts w:eastAsia="Times New Roman" w:cs="Times New Roman"/>
          <w:i/>
          <w:sz w:val="20"/>
          <w:szCs w:val="24"/>
        </w:rPr>
        <w:t xml:space="preserve"> Safety Targets/</w:t>
      </w:r>
      <w:r w:rsidR="00183324">
        <w:rPr>
          <w:rFonts w:eastAsia="Times New Roman" w:cs="Times New Roman"/>
          <w:i/>
          <w:sz w:val="20"/>
          <w:szCs w:val="24"/>
        </w:rPr>
        <w:t>Adoption of Vision Zero</w:t>
      </w:r>
    </w:p>
    <w:p w14:paraId="28ACDA0E" w14:textId="77777777" w:rsidR="006B2045" w:rsidRPr="008B07C8" w:rsidRDefault="006B2045" w:rsidP="006B2045">
      <w:pPr>
        <w:rPr>
          <w:rFonts w:eastAsia="Times New Roman" w:cs="Times New Roman"/>
          <w:i/>
          <w:sz w:val="20"/>
          <w:szCs w:val="24"/>
        </w:rPr>
      </w:pPr>
      <w:r w:rsidRPr="008B07C8">
        <w:rPr>
          <w:rFonts w:eastAsia="Times New Roman" w:cs="Times New Roman"/>
          <w:i/>
          <w:sz w:val="20"/>
          <w:szCs w:val="24"/>
        </w:rPr>
        <w:t>Page 2</w:t>
      </w:r>
    </w:p>
    <w:p w14:paraId="79BD588E" w14:textId="77777777" w:rsidR="00625AF6" w:rsidRDefault="00625AF6" w:rsidP="00720999">
      <w:pPr>
        <w:jc w:val="center"/>
        <w:rPr>
          <w:b/>
          <w:sz w:val="32"/>
          <w:szCs w:val="32"/>
        </w:rPr>
      </w:pPr>
    </w:p>
    <w:p w14:paraId="0E811A64" w14:textId="77777777" w:rsidR="006B2045" w:rsidRDefault="006B2045" w:rsidP="00720999">
      <w:pPr>
        <w:jc w:val="center"/>
        <w:rPr>
          <w:b/>
          <w:sz w:val="32"/>
          <w:szCs w:val="32"/>
        </w:rPr>
      </w:pPr>
    </w:p>
    <w:p w14:paraId="58CA178A" w14:textId="77777777" w:rsidR="003E63AD" w:rsidRPr="00720999" w:rsidRDefault="00720999" w:rsidP="00720999">
      <w:pPr>
        <w:jc w:val="center"/>
        <w:rPr>
          <w:b/>
          <w:sz w:val="32"/>
          <w:szCs w:val="32"/>
        </w:rPr>
      </w:pPr>
      <w:r w:rsidRPr="00720999">
        <w:rPr>
          <w:b/>
          <w:sz w:val="32"/>
          <w:szCs w:val="32"/>
        </w:rPr>
        <w:t>MoDOT Statewide Safety Targets</w:t>
      </w:r>
    </w:p>
    <w:p w14:paraId="5BF5EDFC" w14:textId="77777777" w:rsidR="00720999" w:rsidRDefault="00720999" w:rsidP="00720999">
      <w:pPr>
        <w:jc w:val="center"/>
      </w:pPr>
      <w:r>
        <w:t>August 2017 (reported in HSP and HSIP)</w:t>
      </w:r>
    </w:p>
    <w:p w14:paraId="5F5A4045" w14:textId="77777777" w:rsidR="00720999" w:rsidRDefault="00720999" w:rsidP="00720999"/>
    <w:p w14:paraId="2460763A" w14:textId="77777777" w:rsidR="00720999" w:rsidRDefault="00720999" w:rsidP="00720999">
      <w:r>
        <w:t>Targets based on 5-year rolling average:</w:t>
      </w:r>
    </w:p>
    <w:p w14:paraId="23A45CC6" w14:textId="77777777" w:rsidR="00720999" w:rsidRDefault="00720999" w:rsidP="00720999"/>
    <w:tbl>
      <w:tblPr>
        <w:tblStyle w:val="TableGrid"/>
        <w:tblW w:w="0" w:type="auto"/>
        <w:tblLook w:val="04A0" w:firstRow="1" w:lastRow="0" w:firstColumn="1" w:lastColumn="0" w:noHBand="0" w:noVBand="1"/>
      </w:tblPr>
      <w:tblGrid>
        <w:gridCol w:w="5778"/>
        <w:gridCol w:w="3240"/>
      </w:tblGrid>
      <w:tr w:rsidR="00720999" w14:paraId="48198F61" w14:textId="77777777" w:rsidTr="00720999">
        <w:trPr>
          <w:trHeight w:val="360"/>
        </w:trPr>
        <w:tc>
          <w:tcPr>
            <w:tcW w:w="5778" w:type="dxa"/>
          </w:tcPr>
          <w:p w14:paraId="7387D944" w14:textId="77777777" w:rsidR="00720999" w:rsidRPr="00720999" w:rsidRDefault="00720999">
            <w:pPr>
              <w:rPr>
                <w:b/>
              </w:rPr>
            </w:pPr>
            <w:r w:rsidRPr="00720999">
              <w:rPr>
                <w:b/>
              </w:rPr>
              <w:t>Performance Measure</w:t>
            </w:r>
          </w:p>
        </w:tc>
        <w:tc>
          <w:tcPr>
            <w:tcW w:w="3240" w:type="dxa"/>
          </w:tcPr>
          <w:p w14:paraId="3DA6EE87" w14:textId="77777777" w:rsidR="00720999" w:rsidRPr="00720999" w:rsidRDefault="00720999">
            <w:pPr>
              <w:rPr>
                <w:b/>
              </w:rPr>
            </w:pPr>
            <w:r w:rsidRPr="00720999">
              <w:rPr>
                <w:b/>
              </w:rPr>
              <w:t>Statewide Target</w:t>
            </w:r>
            <w:r>
              <w:rPr>
                <w:b/>
              </w:rPr>
              <w:t xml:space="preserve"> for CY2018</w:t>
            </w:r>
          </w:p>
        </w:tc>
      </w:tr>
      <w:tr w:rsidR="00720999" w14:paraId="09564E2F" w14:textId="77777777" w:rsidTr="00720999">
        <w:trPr>
          <w:trHeight w:val="360"/>
        </w:trPr>
        <w:tc>
          <w:tcPr>
            <w:tcW w:w="5778" w:type="dxa"/>
          </w:tcPr>
          <w:p w14:paraId="179E4A04" w14:textId="77777777" w:rsidR="00720999" w:rsidRDefault="00720999" w:rsidP="00720999">
            <w:r>
              <w:t xml:space="preserve">Number of Fatalities </w:t>
            </w:r>
          </w:p>
        </w:tc>
        <w:tc>
          <w:tcPr>
            <w:tcW w:w="3240" w:type="dxa"/>
          </w:tcPr>
          <w:p w14:paraId="2E8A43C3" w14:textId="77777777" w:rsidR="00720999" w:rsidRDefault="00720999" w:rsidP="00720999">
            <w:pPr>
              <w:jc w:val="center"/>
            </w:pPr>
            <w:r>
              <w:t>857.7</w:t>
            </w:r>
          </w:p>
        </w:tc>
      </w:tr>
      <w:tr w:rsidR="00720999" w14:paraId="0F704196" w14:textId="77777777" w:rsidTr="00720999">
        <w:trPr>
          <w:trHeight w:val="360"/>
        </w:trPr>
        <w:tc>
          <w:tcPr>
            <w:tcW w:w="5778" w:type="dxa"/>
          </w:tcPr>
          <w:p w14:paraId="4F021958" w14:textId="77777777" w:rsidR="00720999" w:rsidRDefault="00720999" w:rsidP="00720999">
            <w:r>
              <w:t>Fatality Rate per 100 Million VMT</w:t>
            </w:r>
          </w:p>
        </w:tc>
        <w:tc>
          <w:tcPr>
            <w:tcW w:w="3240" w:type="dxa"/>
          </w:tcPr>
          <w:p w14:paraId="1E932E9F" w14:textId="77777777" w:rsidR="00720999" w:rsidRDefault="00720999" w:rsidP="00720999">
            <w:pPr>
              <w:jc w:val="center"/>
            </w:pPr>
            <w:r>
              <w:t>1.163</w:t>
            </w:r>
          </w:p>
        </w:tc>
      </w:tr>
      <w:tr w:rsidR="00720999" w14:paraId="67C7418D" w14:textId="77777777" w:rsidTr="00720999">
        <w:trPr>
          <w:trHeight w:val="360"/>
        </w:trPr>
        <w:tc>
          <w:tcPr>
            <w:tcW w:w="5778" w:type="dxa"/>
          </w:tcPr>
          <w:p w14:paraId="6090D754" w14:textId="77777777" w:rsidR="00720999" w:rsidRDefault="00720999" w:rsidP="00720999">
            <w:r>
              <w:t xml:space="preserve">Number of Serious Injuries </w:t>
            </w:r>
          </w:p>
        </w:tc>
        <w:tc>
          <w:tcPr>
            <w:tcW w:w="3240" w:type="dxa"/>
          </w:tcPr>
          <w:p w14:paraId="2FA1A86E" w14:textId="77777777" w:rsidR="00720999" w:rsidRDefault="00720999" w:rsidP="00720999">
            <w:pPr>
              <w:jc w:val="center"/>
            </w:pPr>
            <w:r>
              <w:t>4,559.3</w:t>
            </w:r>
          </w:p>
        </w:tc>
      </w:tr>
      <w:tr w:rsidR="00720999" w14:paraId="2EEF1C2A" w14:textId="77777777" w:rsidTr="00720999">
        <w:trPr>
          <w:trHeight w:val="360"/>
        </w:trPr>
        <w:tc>
          <w:tcPr>
            <w:tcW w:w="5778" w:type="dxa"/>
          </w:tcPr>
          <w:p w14:paraId="622AA3E6" w14:textId="77777777" w:rsidR="00720999" w:rsidRDefault="00720999" w:rsidP="00720999">
            <w:r>
              <w:t>Serious Injury Rate per 100 Million VMT</w:t>
            </w:r>
          </w:p>
        </w:tc>
        <w:tc>
          <w:tcPr>
            <w:tcW w:w="3240" w:type="dxa"/>
          </w:tcPr>
          <w:p w14:paraId="18DE9B0E" w14:textId="77777777" w:rsidR="00720999" w:rsidRDefault="00720999" w:rsidP="00720999">
            <w:pPr>
              <w:jc w:val="center"/>
            </w:pPr>
            <w:r>
              <w:t>6.191</w:t>
            </w:r>
          </w:p>
        </w:tc>
      </w:tr>
      <w:tr w:rsidR="00720999" w14:paraId="2073C709" w14:textId="77777777" w:rsidTr="00720999">
        <w:trPr>
          <w:trHeight w:val="360"/>
        </w:trPr>
        <w:tc>
          <w:tcPr>
            <w:tcW w:w="5778" w:type="dxa"/>
          </w:tcPr>
          <w:p w14:paraId="261833F4" w14:textId="77777777" w:rsidR="00720999" w:rsidRDefault="00720999">
            <w:r>
              <w:t>Number of Non-Motorized Fatalities and Serious Injuries</w:t>
            </w:r>
          </w:p>
        </w:tc>
        <w:tc>
          <w:tcPr>
            <w:tcW w:w="3240" w:type="dxa"/>
          </w:tcPr>
          <w:p w14:paraId="098DD011" w14:textId="77777777" w:rsidR="00720999" w:rsidRDefault="00720999" w:rsidP="00720999">
            <w:pPr>
              <w:jc w:val="center"/>
            </w:pPr>
            <w:r>
              <w:t>431.9</w:t>
            </w:r>
          </w:p>
        </w:tc>
      </w:tr>
    </w:tbl>
    <w:p w14:paraId="7D9F89D6" w14:textId="65D3A755" w:rsidR="00EE2E0E" w:rsidRDefault="00720999" w:rsidP="004E3E50">
      <w:pPr>
        <w:rPr>
          <w:sz w:val="22"/>
        </w:rPr>
      </w:pPr>
      <w:r w:rsidRPr="00521922">
        <w:rPr>
          <w:sz w:val="22"/>
        </w:rPr>
        <w:t>Targets based on 7% fatality reduction</w:t>
      </w:r>
      <w:r w:rsidR="00FB0335" w:rsidRPr="00521922">
        <w:rPr>
          <w:sz w:val="22"/>
        </w:rPr>
        <w:t>,</w:t>
      </w:r>
      <w:r w:rsidRPr="00521922">
        <w:rPr>
          <w:sz w:val="22"/>
        </w:rPr>
        <w:t xml:space="preserve"> 4% serious injury reduction, 1% VMT increase and 4 % non-motorized reduction</w:t>
      </w:r>
      <w:r w:rsidR="00AC4125" w:rsidRPr="00521922">
        <w:rPr>
          <w:sz w:val="22"/>
        </w:rPr>
        <w:t>.</w:t>
      </w:r>
    </w:p>
    <w:p w14:paraId="542AAB8E" w14:textId="77777777" w:rsidR="00521922" w:rsidRPr="00521922" w:rsidRDefault="00521922" w:rsidP="004E3E50">
      <w:pPr>
        <w:rPr>
          <w:sz w:val="22"/>
        </w:rPr>
      </w:pPr>
    </w:p>
    <w:p w14:paraId="0D6E2101" w14:textId="77777777" w:rsidR="00594EF1" w:rsidRPr="00594EF1" w:rsidRDefault="00594EF1" w:rsidP="004E3E50"/>
    <w:p w14:paraId="6BD93C91" w14:textId="3B98BCD0" w:rsidR="00C736A1" w:rsidRPr="00720999" w:rsidRDefault="00104DA6" w:rsidP="004E3E50">
      <w:pPr>
        <w:jc w:val="center"/>
        <w:rPr>
          <w:b/>
          <w:sz w:val="32"/>
          <w:szCs w:val="32"/>
        </w:rPr>
      </w:pPr>
      <w:r>
        <w:rPr>
          <w:b/>
          <w:sz w:val="32"/>
          <w:szCs w:val="32"/>
        </w:rPr>
        <w:t xml:space="preserve">Potential </w:t>
      </w:r>
      <w:r w:rsidR="00C736A1">
        <w:rPr>
          <w:b/>
          <w:sz w:val="32"/>
          <w:szCs w:val="32"/>
        </w:rPr>
        <w:t>CATSO</w:t>
      </w:r>
      <w:r w:rsidR="00C736A1" w:rsidRPr="00720999">
        <w:rPr>
          <w:b/>
          <w:sz w:val="32"/>
          <w:szCs w:val="32"/>
        </w:rPr>
        <w:t xml:space="preserve"> Safety Targets</w:t>
      </w:r>
      <w:r w:rsidR="00355A5E">
        <w:rPr>
          <w:b/>
          <w:sz w:val="32"/>
          <w:szCs w:val="32"/>
        </w:rPr>
        <w:t>, based on MoDOT Targets</w:t>
      </w:r>
    </w:p>
    <w:p w14:paraId="765F6C1C" w14:textId="584DCBCB" w:rsidR="00C736A1" w:rsidRDefault="00B24F3F" w:rsidP="00CF368B">
      <w:pPr>
        <w:jc w:val="center"/>
      </w:pPr>
      <w:r>
        <w:t>February 2018</w:t>
      </w:r>
    </w:p>
    <w:p w14:paraId="12BE6387" w14:textId="631363DE" w:rsidR="00C736A1" w:rsidRDefault="00C736A1" w:rsidP="00C736A1"/>
    <w:tbl>
      <w:tblPr>
        <w:tblStyle w:val="TableGrid"/>
        <w:tblW w:w="0" w:type="auto"/>
        <w:tblLook w:val="04A0" w:firstRow="1" w:lastRow="0" w:firstColumn="1" w:lastColumn="0" w:noHBand="0" w:noVBand="1"/>
      </w:tblPr>
      <w:tblGrid>
        <w:gridCol w:w="3618"/>
        <w:gridCol w:w="3342"/>
        <w:gridCol w:w="2616"/>
      </w:tblGrid>
      <w:tr w:rsidR="00F81C6D" w14:paraId="11DE014C" w14:textId="77777777" w:rsidTr="002E6BC4">
        <w:trPr>
          <w:trHeight w:val="360"/>
        </w:trPr>
        <w:tc>
          <w:tcPr>
            <w:tcW w:w="3618" w:type="dxa"/>
          </w:tcPr>
          <w:p w14:paraId="2CFCDBEE" w14:textId="77777777" w:rsidR="00F81C6D" w:rsidRPr="00720999" w:rsidRDefault="00F81C6D" w:rsidP="000B3E17">
            <w:pPr>
              <w:rPr>
                <w:b/>
              </w:rPr>
            </w:pPr>
            <w:r w:rsidRPr="00720999">
              <w:rPr>
                <w:b/>
              </w:rPr>
              <w:t>Performance Measure</w:t>
            </w:r>
          </w:p>
        </w:tc>
        <w:tc>
          <w:tcPr>
            <w:tcW w:w="3342" w:type="dxa"/>
          </w:tcPr>
          <w:p w14:paraId="02E5E1EC" w14:textId="13191060" w:rsidR="00F81C6D" w:rsidRDefault="000C1A32" w:rsidP="000C1A32">
            <w:pPr>
              <w:jc w:val="center"/>
              <w:rPr>
                <w:b/>
              </w:rPr>
            </w:pPr>
            <w:r>
              <w:rPr>
                <w:b/>
              </w:rPr>
              <w:t>Estimated 2018</w:t>
            </w:r>
            <w:r w:rsidR="002E6BC4">
              <w:rPr>
                <w:b/>
              </w:rPr>
              <w:t xml:space="preserve"> Totals B</w:t>
            </w:r>
            <w:r>
              <w:rPr>
                <w:b/>
              </w:rPr>
              <w:t xml:space="preserve">ased on </w:t>
            </w:r>
            <w:r w:rsidR="002E6BC4">
              <w:rPr>
                <w:b/>
              </w:rPr>
              <w:t>5 year Rolling A</w:t>
            </w:r>
            <w:r>
              <w:rPr>
                <w:b/>
              </w:rPr>
              <w:t>vg.</w:t>
            </w:r>
          </w:p>
        </w:tc>
        <w:tc>
          <w:tcPr>
            <w:tcW w:w="2616" w:type="dxa"/>
          </w:tcPr>
          <w:p w14:paraId="7B8E018A" w14:textId="12DB47E4" w:rsidR="00F81C6D" w:rsidRPr="000C1A32" w:rsidRDefault="00F81C6D" w:rsidP="000C1A32">
            <w:pPr>
              <w:jc w:val="center"/>
              <w:rPr>
                <w:b/>
                <w:vertAlign w:val="superscript"/>
              </w:rPr>
            </w:pPr>
            <w:r w:rsidRPr="00720999">
              <w:rPr>
                <w:b/>
              </w:rPr>
              <w:t>Target</w:t>
            </w:r>
            <w:r>
              <w:rPr>
                <w:b/>
              </w:rPr>
              <w:t xml:space="preserve"> for CY2018</w:t>
            </w:r>
            <w:r w:rsidR="000C1A32">
              <w:rPr>
                <w:b/>
                <w:vertAlign w:val="superscript"/>
              </w:rPr>
              <w:t>1</w:t>
            </w:r>
          </w:p>
        </w:tc>
      </w:tr>
      <w:tr w:rsidR="00F81C6D" w14:paraId="3C951300" w14:textId="77777777" w:rsidTr="002E6BC4">
        <w:trPr>
          <w:trHeight w:val="360"/>
        </w:trPr>
        <w:tc>
          <w:tcPr>
            <w:tcW w:w="3618" w:type="dxa"/>
          </w:tcPr>
          <w:p w14:paraId="0CE48552" w14:textId="77777777" w:rsidR="00F81C6D" w:rsidRDefault="00F81C6D" w:rsidP="000B3E17">
            <w:r>
              <w:t xml:space="preserve">Number of Fatalities </w:t>
            </w:r>
          </w:p>
        </w:tc>
        <w:tc>
          <w:tcPr>
            <w:tcW w:w="3342" w:type="dxa"/>
          </w:tcPr>
          <w:p w14:paraId="7B5277CA" w14:textId="5A2F4B62" w:rsidR="00F81C6D" w:rsidRDefault="002E6BC4" w:rsidP="000B3E17">
            <w:pPr>
              <w:jc w:val="center"/>
              <w:rPr>
                <w:color w:val="000000"/>
              </w:rPr>
            </w:pPr>
            <w:r>
              <w:rPr>
                <w:color w:val="000000"/>
              </w:rPr>
              <w:t>15.1</w:t>
            </w:r>
            <w:r>
              <w:rPr>
                <w:color w:val="000000"/>
                <w:vertAlign w:val="superscript"/>
              </w:rPr>
              <w:t>2</w:t>
            </w:r>
          </w:p>
        </w:tc>
        <w:tc>
          <w:tcPr>
            <w:tcW w:w="2616" w:type="dxa"/>
          </w:tcPr>
          <w:p w14:paraId="35DB63EC" w14:textId="01133D9C" w:rsidR="00F81C6D" w:rsidRPr="00032003" w:rsidRDefault="00F81C6D" w:rsidP="002E6BC4">
            <w:pPr>
              <w:jc w:val="center"/>
              <w:rPr>
                <w:vertAlign w:val="superscript"/>
              </w:rPr>
            </w:pPr>
            <w:r>
              <w:rPr>
                <w:color w:val="000000"/>
              </w:rPr>
              <w:t>14.04</w:t>
            </w:r>
          </w:p>
        </w:tc>
      </w:tr>
      <w:tr w:rsidR="00F81C6D" w14:paraId="1AEFB1DB" w14:textId="77777777" w:rsidTr="002E6BC4">
        <w:trPr>
          <w:trHeight w:val="360"/>
        </w:trPr>
        <w:tc>
          <w:tcPr>
            <w:tcW w:w="3618" w:type="dxa"/>
          </w:tcPr>
          <w:p w14:paraId="3E06BEAB" w14:textId="53C6F614" w:rsidR="00F81C6D" w:rsidRPr="00032003" w:rsidRDefault="00F81C6D" w:rsidP="000B3E17">
            <w:pPr>
              <w:rPr>
                <w:vertAlign w:val="superscript"/>
              </w:rPr>
            </w:pPr>
            <w:r>
              <w:t>Fatality Rate per 100 Million VMT</w:t>
            </w:r>
            <w:r w:rsidR="000C1A32">
              <w:rPr>
                <w:vertAlign w:val="superscript"/>
              </w:rPr>
              <w:t>3</w:t>
            </w:r>
          </w:p>
        </w:tc>
        <w:tc>
          <w:tcPr>
            <w:tcW w:w="3342" w:type="dxa"/>
          </w:tcPr>
          <w:p w14:paraId="610216B6" w14:textId="69B590BA" w:rsidR="00F81C6D" w:rsidRDefault="002E6BC4" w:rsidP="00EE2C7C">
            <w:pPr>
              <w:jc w:val="center"/>
              <w:rPr>
                <w:color w:val="000000"/>
              </w:rPr>
            </w:pPr>
            <w:r>
              <w:rPr>
                <w:color w:val="000000"/>
              </w:rPr>
              <w:t>1.24</w:t>
            </w:r>
          </w:p>
        </w:tc>
        <w:tc>
          <w:tcPr>
            <w:tcW w:w="2616" w:type="dxa"/>
          </w:tcPr>
          <w:p w14:paraId="279CC012" w14:textId="25CA67F0" w:rsidR="00F81C6D" w:rsidRDefault="00F81C6D" w:rsidP="00EE2C7C">
            <w:pPr>
              <w:jc w:val="center"/>
              <w:rPr>
                <w:color w:val="000000"/>
                <w:szCs w:val="24"/>
              </w:rPr>
            </w:pPr>
            <w:r>
              <w:rPr>
                <w:color w:val="000000"/>
              </w:rPr>
              <w:t>1.13</w:t>
            </w:r>
          </w:p>
          <w:p w14:paraId="23CD6D88" w14:textId="58E8FCF4" w:rsidR="00F81C6D" w:rsidRDefault="00F81C6D" w:rsidP="000B3E17">
            <w:pPr>
              <w:jc w:val="center"/>
            </w:pPr>
          </w:p>
        </w:tc>
      </w:tr>
      <w:tr w:rsidR="00F81C6D" w14:paraId="34C6CBC3" w14:textId="77777777" w:rsidTr="002E6BC4">
        <w:trPr>
          <w:trHeight w:val="350"/>
        </w:trPr>
        <w:tc>
          <w:tcPr>
            <w:tcW w:w="3618" w:type="dxa"/>
          </w:tcPr>
          <w:p w14:paraId="7886E1EA" w14:textId="77777777" w:rsidR="00F81C6D" w:rsidRDefault="00F81C6D" w:rsidP="000B3E17">
            <w:r>
              <w:t xml:space="preserve">Number of Serious Injuries </w:t>
            </w:r>
          </w:p>
        </w:tc>
        <w:tc>
          <w:tcPr>
            <w:tcW w:w="3342" w:type="dxa"/>
          </w:tcPr>
          <w:p w14:paraId="0E25DBD3" w14:textId="636BD3E7" w:rsidR="00F81C6D" w:rsidRDefault="002E6BC4" w:rsidP="00CC67EA">
            <w:pPr>
              <w:jc w:val="center"/>
              <w:rPr>
                <w:color w:val="000000"/>
              </w:rPr>
            </w:pPr>
            <w:r>
              <w:rPr>
                <w:color w:val="000000"/>
              </w:rPr>
              <w:t>72.4</w:t>
            </w:r>
          </w:p>
        </w:tc>
        <w:tc>
          <w:tcPr>
            <w:tcW w:w="2616" w:type="dxa"/>
          </w:tcPr>
          <w:p w14:paraId="6995D986" w14:textId="282E2A9F" w:rsidR="00F81C6D" w:rsidRPr="00CC67EA" w:rsidRDefault="00F81C6D" w:rsidP="00CC67EA">
            <w:pPr>
              <w:jc w:val="center"/>
              <w:rPr>
                <w:color w:val="000000"/>
                <w:szCs w:val="24"/>
              </w:rPr>
            </w:pPr>
            <w:r>
              <w:rPr>
                <w:color w:val="000000"/>
              </w:rPr>
              <w:t>69.5</w:t>
            </w:r>
          </w:p>
        </w:tc>
      </w:tr>
      <w:tr w:rsidR="00F81C6D" w14:paraId="74386B80" w14:textId="77777777" w:rsidTr="002E6BC4">
        <w:trPr>
          <w:trHeight w:val="360"/>
        </w:trPr>
        <w:tc>
          <w:tcPr>
            <w:tcW w:w="3618" w:type="dxa"/>
          </w:tcPr>
          <w:p w14:paraId="4983C8C3" w14:textId="77777777" w:rsidR="00F81C6D" w:rsidRDefault="00F81C6D" w:rsidP="000B3E17">
            <w:r>
              <w:t>Serious Injury Rate per 100 Million VMT</w:t>
            </w:r>
          </w:p>
        </w:tc>
        <w:tc>
          <w:tcPr>
            <w:tcW w:w="3342" w:type="dxa"/>
          </w:tcPr>
          <w:p w14:paraId="00CB2BA8" w14:textId="3AAD4067" w:rsidR="00F81C6D" w:rsidRDefault="002E6BC4" w:rsidP="00EE2C7C">
            <w:pPr>
              <w:jc w:val="center"/>
              <w:rPr>
                <w:color w:val="000000"/>
              </w:rPr>
            </w:pPr>
            <w:r>
              <w:rPr>
                <w:color w:val="000000"/>
              </w:rPr>
              <w:t>5.95</w:t>
            </w:r>
          </w:p>
        </w:tc>
        <w:tc>
          <w:tcPr>
            <w:tcW w:w="2616" w:type="dxa"/>
          </w:tcPr>
          <w:p w14:paraId="6F2EBA7B" w14:textId="5D6EDAC2" w:rsidR="00F81C6D" w:rsidRDefault="00F81C6D" w:rsidP="00EE2C7C">
            <w:pPr>
              <w:jc w:val="center"/>
              <w:rPr>
                <w:color w:val="000000"/>
                <w:szCs w:val="24"/>
              </w:rPr>
            </w:pPr>
            <w:r>
              <w:rPr>
                <w:color w:val="000000"/>
              </w:rPr>
              <w:t>5.57</w:t>
            </w:r>
          </w:p>
          <w:p w14:paraId="5FB9C145" w14:textId="6F6EB82D" w:rsidR="00F81C6D" w:rsidRDefault="00F81C6D" w:rsidP="000B3E17">
            <w:pPr>
              <w:jc w:val="center"/>
            </w:pPr>
          </w:p>
        </w:tc>
      </w:tr>
      <w:tr w:rsidR="00F81C6D" w14:paraId="451EA118" w14:textId="77777777" w:rsidTr="002E6BC4">
        <w:trPr>
          <w:trHeight w:val="360"/>
        </w:trPr>
        <w:tc>
          <w:tcPr>
            <w:tcW w:w="3618" w:type="dxa"/>
          </w:tcPr>
          <w:p w14:paraId="3380FBDF" w14:textId="6C77E315" w:rsidR="00F81C6D" w:rsidRDefault="00F81C6D" w:rsidP="000B3E17">
            <w:r>
              <w:t>Number of Non-Motorized</w:t>
            </w:r>
            <w:r w:rsidR="00EE2E0E">
              <w:rPr>
                <w:vertAlign w:val="superscript"/>
              </w:rPr>
              <w:t>4</w:t>
            </w:r>
            <w:r>
              <w:t xml:space="preserve"> Fatalities and Serious Injuries</w:t>
            </w:r>
          </w:p>
        </w:tc>
        <w:tc>
          <w:tcPr>
            <w:tcW w:w="3342" w:type="dxa"/>
          </w:tcPr>
          <w:p w14:paraId="4B15C803" w14:textId="238C7015" w:rsidR="00F81C6D" w:rsidRDefault="002E6BC4" w:rsidP="00CC67EA">
            <w:pPr>
              <w:jc w:val="center"/>
              <w:rPr>
                <w:color w:val="000000"/>
              </w:rPr>
            </w:pPr>
            <w:r>
              <w:rPr>
                <w:color w:val="000000"/>
              </w:rPr>
              <w:t>11.2</w:t>
            </w:r>
          </w:p>
        </w:tc>
        <w:tc>
          <w:tcPr>
            <w:tcW w:w="2616" w:type="dxa"/>
          </w:tcPr>
          <w:p w14:paraId="764B62EA" w14:textId="0D568415" w:rsidR="00F81C6D" w:rsidRPr="00CC67EA" w:rsidRDefault="00F81C6D" w:rsidP="00CC67EA">
            <w:pPr>
              <w:jc w:val="center"/>
              <w:rPr>
                <w:color w:val="000000"/>
                <w:szCs w:val="24"/>
              </w:rPr>
            </w:pPr>
            <w:r>
              <w:rPr>
                <w:color w:val="000000"/>
              </w:rPr>
              <w:t>10.75</w:t>
            </w:r>
          </w:p>
        </w:tc>
      </w:tr>
    </w:tbl>
    <w:p w14:paraId="2FAA7F14" w14:textId="77777777" w:rsidR="000C1A32" w:rsidRDefault="000C1A32" w:rsidP="004E3E50">
      <w:pPr>
        <w:rPr>
          <w:rFonts w:cs="Times New Roman"/>
          <w:vertAlign w:val="superscript"/>
        </w:rPr>
      </w:pPr>
    </w:p>
    <w:p w14:paraId="029C2834" w14:textId="0161BB84" w:rsidR="00032003" w:rsidRPr="00521922" w:rsidRDefault="000C1A32" w:rsidP="004E3E50">
      <w:pPr>
        <w:rPr>
          <w:rFonts w:eastAsia="Times New Roman" w:cs="Times New Roman"/>
          <w:bCs/>
          <w:sz w:val="22"/>
          <w:szCs w:val="24"/>
        </w:rPr>
      </w:pPr>
      <w:r w:rsidRPr="00521922">
        <w:rPr>
          <w:rFonts w:cs="Times New Roman"/>
          <w:sz w:val="22"/>
          <w:vertAlign w:val="superscript"/>
        </w:rPr>
        <w:t>1</w:t>
      </w:r>
      <w:r w:rsidR="00C736A1" w:rsidRPr="00521922">
        <w:rPr>
          <w:rFonts w:cs="Times New Roman"/>
          <w:sz w:val="22"/>
        </w:rPr>
        <w:t>Targets based on 7% fatality reduction, 4% serious injur</w:t>
      </w:r>
      <w:r w:rsidR="00286AEB" w:rsidRPr="00521922">
        <w:rPr>
          <w:rFonts w:cs="Times New Roman"/>
          <w:sz w:val="22"/>
        </w:rPr>
        <w:t>y reduction, and</w:t>
      </w:r>
      <w:r w:rsidR="00C736A1" w:rsidRPr="00521922">
        <w:rPr>
          <w:rFonts w:cs="Times New Roman"/>
          <w:sz w:val="22"/>
        </w:rPr>
        <w:t xml:space="preserve"> 4 % non-motorized reduction</w:t>
      </w:r>
      <w:r w:rsidR="00EE2C7C" w:rsidRPr="00521922">
        <w:rPr>
          <w:rFonts w:eastAsia="Times New Roman" w:cs="Times New Roman"/>
          <w:bCs/>
          <w:sz w:val="22"/>
          <w:szCs w:val="24"/>
        </w:rPr>
        <w:t>.</w:t>
      </w:r>
    </w:p>
    <w:p w14:paraId="2AF98F19" w14:textId="79539430" w:rsidR="00032003" w:rsidRPr="00521922" w:rsidRDefault="000C1A32" w:rsidP="00032003">
      <w:pPr>
        <w:rPr>
          <w:rFonts w:eastAsia="Times New Roman" w:cs="Times New Roman"/>
          <w:bCs/>
          <w:sz w:val="22"/>
          <w:szCs w:val="24"/>
        </w:rPr>
      </w:pPr>
      <w:r w:rsidRPr="00521922">
        <w:rPr>
          <w:sz w:val="22"/>
          <w:vertAlign w:val="superscript"/>
        </w:rPr>
        <w:t>2</w:t>
      </w:r>
      <w:r w:rsidR="00032003" w:rsidRPr="00521922">
        <w:rPr>
          <w:rFonts w:eastAsia="Times New Roman" w:cs="Times New Roman"/>
          <w:bCs/>
          <w:sz w:val="22"/>
          <w:szCs w:val="24"/>
        </w:rPr>
        <w:t>All numbers rounded to the nearest 10</w:t>
      </w:r>
      <w:r w:rsidR="00032003" w:rsidRPr="00521922">
        <w:rPr>
          <w:rFonts w:eastAsia="Times New Roman" w:cs="Times New Roman"/>
          <w:bCs/>
          <w:sz w:val="22"/>
          <w:szCs w:val="24"/>
          <w:vertAlign w:val="superscript"/>
        </w:rPr>
        <w:t>th</w:t>
      </w:r>
      <w:r w:rsidR="00032003" w:rsidRPr="00521922">
        <w:rPr>
          <w:rFonts w:eastAsia="Times New Roman" w:cs="Times New Roman"/>
          <w:bCs/>
          <w:sz w:val="22"/>
          <w:szCs w:val="24"/>
        </w:rPr>
        <w:t xml:space="preserve"> or 100</w:t>
      </w:r>
      <w:r w:rsidR="00032003" w:rsidRPr="00521922">
        <w:rPr>
          <w:rFonts w:eastAsia="Times New Roman" w:cs="Times New Roman"/>
          <w:bCs/>
          <w:sz w:val="22"/>
          <w:szCs w:val="24"/>
          <w:vertAlign w:val="superscript"/>
        </w:rPr>
        <w:t>th</w:t>
      </w:r>
    </w:p>
    <w:p w14:paraId="42F38BFF" w14:textId="5467DD88" w:rsidR="00032003" w:rsidRPr="00521922" w:rsidRDefault="000C1A32" w:rsidP="00032003">
      <w:pPr>
        <w:rPr>
          <w:rFonts w:eastAsia="Times New Roman" w:cs="Times New Roman"/>
          <w:bCs/>
          <w:sz w:val="22"/>
          <w:szCs w:val="24"/>
        </w:rPr>
      </w:pPr>
      <w:r w:rsidRPr="00521922">
        <w:rPr>
          <w:rFonts w:eastAsia="Times New Roman" w:cs="Times New Roman"/>
          <w:bCs/>
          <w:sz w:val="22"/>
          <w:szCs w:val="24"/>
          <w:vertAlign w:val="superscript"/>
        </w:rPr>
        <w:t>3</w:t>
      </w:r>
      <w:r w:rsidR="00032003" w:rsidRPr="00521922">
        <w:rPr>
          <w:rFonts w:eastAsia="Times New Roman" w:cs="Times New Roman"/>
          <w:bCs/>
          <w:sz w:val="22"/>
          <w:szCs w:val="24"/>
          <w:vertAlign w:val="superscript"/>
        </w:rPr>
        <w:t xml:space="preserve"> </w:t>
      </w:r>
      <w:r w:rsidR="00032003" w:rsidRPr="00521922">
        <w:rPr>
          <w:rFonts w:cs="Times New Roman"/>
          <w:sz w:val="22"/>
        </w:rPr>
        <w:t xml:space="preserve">2018 CATSO VMT estimate of </w:t>
      </w:r>
      <w:r w:rsidR="00032003" w:rsidRPr="00521922">
        <w:rPr>
          <w:rFonts w:eastAsia="Times New Roman" w:cs="Times New Roman"/>
          <w:bCs/>
          <w:sz w:val="22"/>
          <w:szCs w:val="24"/>
        </w:rPr>
        <w:t>1,248,011,257</w:t>
      </w:r>
      <w:r w:rsidR="00571FB1" w:rsidRPr="00521922">
        <w:rPr>
          <w:rFonts w:eastAsia="Times New Roman" w:cs="Times New Roman"/>
          <w:bCs/>
          <w:sz w:val="22"/>
          <w:szCs w:val="24"/>
        </w:rPr>
        <w:t xml:space="preserve"> </w:t>
      </w:r>
    </w:p>
    <w:p w14:paraId="5A776254" w14:textId="058D69C1" w:rsidR="00A449DE" w:rsidRPr="00521922" w:rsidRDefault="00EE2E0E" w:rsidP="000103CA">
      <w:pPr>
        <w:rPr>
          <w:rFonts w:eastAsia="Times New Roman" w:cs="Times New Roman"/>
          <w:bCs/>
          <w:sz w:val="22"/>
          <w:szCs w:val="24"/>
        </w:rPr>
      </w:pPr>
      <w:r w:rsidRPr="00521922">
        <w:rPr>
          <w:rFonts w:eastAsia="Times New Roman" w:cs="Times New Roman"/>
          <w:bCs/>
          <w:sz w:val="22"/>
          <w:szCs w:val="24"/>
          <w:vertAlign w:val="superscript"/>
        </w:rPr>
        <w:t xml:space="preserve">4 </w:t>
      </w:r>
      <w:r w:rsidRPr="00521922">
        <w:rPr>
          <w:rFonts w:eastAsia="Times New Roman" w:cs="Times New Roman"/>
          <w:bCs/>
          <w:sz w:val="22"/>
          <w:szCs w:val="24"/>
        </w:rPr>
        <w:t xml:space="preserve">Non-motorized fatalities and serious injuries are included in the total numbers of fatalities and serious injuries, and are also shown separately to demonstrate the data and targets related specifically to vulnerable road users. </w:t>
      </w:r>
    </w:p>
    <w:p w14:paraId="641278AC" w14:textId="77777777" w:rsidR="00A449DE" w:rsidRDefault="00A449DE" w:rsidP="000103CA">
      <w:pPr>
        <w:rPr>
          <w:rFonts w:eastAsia="Times New Roman" w:cs="Times New Roman"/>
          <w:bCs/>
          <w:szCs w:val="24"/>
        </w:rPr>
      </w:pPr>
    </w:p>
    <w:p w14:paraId="3E1A8956" w14:textId="77777777" w:rsidR="00521922" w:rsidRDefault="00521922" w:rsidP="000103CA">
      <w:pPr>
        <w:rPr>
          <w:rFonts w:eastAsia="Times New Roman" w:cs="Times New Roman"/>
          <w:bCs/>
          <w:szCs w:val="24"/>
        </w:rPr>
      </w:pPr>
    </w:p>
    <w:p w14:paraId="5ED21FCB" w14:textId="77777777" w:rsidR="00521922" w:rsidRDefault="00521922" w:rsidP="000103CA">
      <w:pPr>
        <w:rPr>
          <w:rFonts w:eastAsia="Times New Roman" w:cs="Times New Roman"/>
          <w:bCs/>
          <w:szCs w:val="24"/>
        </w:rPr>
      </w:pPr>
    </w:p>
    <w:p w14:paraId="33AC4ECE" w14:textId="77777777" w:rsidR="00A449DE" w:rsidRPr="000103CA" w:rsidRDefault="00A449DE" w:rsidP="000103CA">
      <w:pPr>
        <w:rPr>
          <w:rFonts w:eastAsia="Times New Roman" w:cs="Times New Roman"/>
          <w:bCs/>
          <w:szCs w:val="24"/>
        </w:rPr>
      </w:pPr>
    </w:p>
    <w:p w14:paraId="44A30749" w14:textId="313E680F" w:rsidR="009D15C7" w:rsidRPr="008B07C8" w:rsidRDefault="00303884" w:rsidP="009D15C7">
      <w:pPr>
        <w:rPr>
          <w:rFonts w:eastAsia="Times New Roman" w:cs="Times New Roman"/>
          <w:i/>
          <w:sz w:val="20"/>
          <w:szCs w:val="24"/>
        </w:rPr>
      </w:pPr>
      <w:r>
        <w:rPr>
          <w:rFonts w:eastAsia="Times New Roman" w:cs="Times New Roman"/>
          <w:i/>
          <w:sz w:val="20"/>
          <w:szCs w:val="24"/>
        </w:rPr>
        <w:t>Item 5</w:t>
      </w:r>
      <w:r w:rsidR="009D15C7" w:rsidRPr="008B07C8">
        <w:rPr>
          <w:rFonts w:eastAsia="Times New Roman" w:cs="Times New Roman"/>
          <w:i/>
          <w:sz w:val="20"/>
          <w:szCs w:val="24"/>
        </w:rPr>
        <w:t xml:space="preserve"> – </w:t>
      </w:r>
      <w:r w:rsidR="009D15C7">
        <w:rPr>
          <w:rFonts w:eastAsia="Times New Roman" w:cs="Times New Roman"/>
          <w:i/>
          <w:sz w:val="20"/>
          <w:szCs w:val="24"/>
        </w:rPr>
        <w:t>February</w:t>
      </w:r>
      <w:r w:rsidR="00E82666">
        <w:rPr>
          <w:rFonts w:eastAsia="Times New Roman" w:cs="Times New Roman"/>
          <w:i/>
          <w:sz w:val="20"/>
          <w:szCs w:val="24"/>
        </w:rPr>
        <w:t xml:space="preserve"> </w:t>
      </w:r>
      <w:r w:rsidR="009D15C7">
        <w:rPr>
          <w:rFonts w:eastAsia="Times New Roman" w:cs="Times New Roman"/>
          <w:i/>
          <w:sz w:val="20"/>
          <w:szCs w:val="24"/>
        </w:rPr>
        <w:t xml:space="preserve">7, 2018 </w:t>
      </w:r>
      <w:r w:rsidR="009D15C7" w:rsidRPr="008B07C8">
        <w:rPr>
          <w:rFonts w:eastAsia="Times New Roman" w:cs="Times New Roman"/>
          <w:i/>
          <w:sz w:val="20"/>
          <w:szCs w:val="24"/>
        </w:rPr>
        <w:t xml:space="preserve">CATSO </w:t>
      </w:r>
      <w:r w:rsidR="009D15C7">
        <w:rPr>
          <w:rFonts w:eastAsia="Times New Roman" w:cs="Times New Roman"/>
          <w:i/>
          <w:sz w:val="20"/>
          <w:szCs w:val="24"/>
        </w:rPr>
        <w:t xml:space="preserve">Technical </w:t>
      </w:r>
      <w:r w:rsidR="009D15C7" w:rsidRPr="008B07C8">
        <w:rPr>
          <w:rFonts w:eastAsia="Times New Roman" w:cs="Times New Roman"/>
          <w:i/>
          <w:sz w:val="20"/>
          <w:szCs w:val="24"/>
        </w:rPr>
        <w:t xml:space="preserve">– </w:t>
      </w:r>
      <w:r w:rsidR="009D15C7">
        <w:rPr>
          <w:rFonts w:eastAsia="Times New Roman" w:cs="Times New Roman"/>
          <w:i/>
          <w:sz w:val="20"/>
          <w:szCs w:val="24"/>
        </w:rPr>
        <w:t>Fast Ac</w:t>
      </w:r>
      <w:r w:rsidR="00277F4B">
        <w:rPr>
          <w:rFonts w:eastAsia="Times New Roman" w:cs="Times New Roman"/>
          <w:i/>
          <w:sz w:val="20"/>
          <w:szCs w:val="24"/>
        </w:rPr>
        <w:t>t Safety Targets/</w:t>
      </w:r>
      <w:r w:rsidR="009D15C7">
        <w:rPr>
          <w:rFonts w:eastAsia="Times New Roman" w:cs="Times New Roman"/>
          <w:i/>
          <w:sz w:val="20"/>
          <w:szCs w:val="24"/>
        </w:rPr>
        <w:t xml:space="preserve"> Adoption of Vision Zero</w:t>
      </w:r>
    </w:p>
    <w:p w14:paraId="57E3438B" w14:textId="34C5DB8F" w:rsidR="009D15C7" w:rsidRPr="000A3D29" w:rsidRDefault="009D15C7" w:rsidP="000A3D29">
      <w:pPr>
        <w:rPr>
          <w:rFonts w:eastAsia="Times New Roman" w:cs="Times New Roman"/>
          <w:i/>
          <w:sz w:val="20"/>
          <w:szCs w:val="24"/>
        </w:rPr>
      </w:pPr>
      <w:r>
        <w:rPr>
          <w:rFonts w:eastAsia="Times New Roman" w:cs="Times New Roman"/>
          <w:i/>
          <w:sz w:val="20"/>
          <w:szCs w:val="24"/>
        </w:rPr>
        <w:t>Page 3</w:t>
      </w:r>
    </w:p>
    <w:p w14:paraId="656AF1EA" w14:textId="77777777" w:rsidR="000A3D29" w:rsidRDefault="00AB4AFB" w:rsidP="001500DB">
      <w:pPr>
        <w:jc w:val="center"/>
        <w:rPr>
          <w:b/>
          <w:sz w:val="32"/>
          <w:szCs w:val="32"/>
        </w:rPr>
      </w:pPr>
      <w:r>
        <w:rPr>
          <w:b/>
          <w:sz w:val="32"/>
          <w:szCs w:val="32"/>
        </w:rPr>
        <w:t xml:space="preserve">Potential </w:t>
      </w:r>
      <w:r w:rsidR="00355A5E">
        <w:rPr>
          <w:b/>
          <w:sz w:val="32"/>
          <w:szCs w:val="32"/>
        </w:rPr>
        <w:t>CATSO</w:t>
      </w:r>
      <w:r w:rsidR="00355A5E" w:rsidRPr="00720999">
        <w:rPr>
          <w:b/>
          <w:sz w:val="32"/>
          <w:szCs w:val="32"/>
        </w:rPr>
        <w:t xml:space="preserve"> Safety Targets</w:t>
      </w:r>
      <w:r w:rsidR="00355A5E">
        <w:rPr>
          <w:b/>
          <w:sz w:val="32"/>
          <w:szCs w:val="32"/>
        </w:rPr>
        <w:t>, based on Vision Zero</w:t>
      </w:r>
    </w:p>
    <w:p w14:paraId="36FA7469" w14:textId="5D5C30B8" w:rsidR="00A6180B" w:rsidRDefault="000A3D29" w:rsidP="001500DB">
      <w:pPr>
        <w:jc w:val="center"/>
        <w:rPr>
          <w:b/>
          <w:sz w:val="32"/>
          <w:szCs w:val="32"/>
        </w:rPr>
      </w:pPr>
      <w:r>
        <w:rPr>
          <w:szCs w:val="24"/>
        </w:rPr>
        <w:t>February 2018</w:t>
      </w:r>
      <w:r w:rsidR="00355A5E">
        <w:rPr>
          <w:b/>
          <w:sz w:val="32"/>
          <w:szCs w:val="32"/>
        </w:rPr>
        <w:t xml:space="preserve"> </w:t>
      </w:r>
    </w:p>
    <w:p w14:paraId="696DECE8" w14:textId="77777777" w:rsidR="0036439A" w:rsidRPr="000103CA" w:rsidRDefault="0036439A" w:rsidP="001500DB">
      <w:pPr>
        <w:jc w:val="center"/>
        <w:rPr>
          <w:b/>
          <w:sz w:val="32"/>
          <w:szCs w:val="32"/>
        </w:rPr>
      </w:pPr>
    </w:p>
    <w:p w14:paraId="02122AB9" w14:textId="1AEB1E2C" w:rsidR="00A449DE" w:rsidRDefault="00F81C6D" w:rsidP="00A449DE">
      <w:r>
        <w:t xml:space="preserve">CATSO </w:t>
      </w:r>
      <w:r w:rsidR="00C9133E">
        <w:t xml:space="preserve">Vision </w:t>
      </w:r>
      <w:r w:rsidR="00050C82">
        <w:t xml:space="preserve">Zero targets are </w:t>
      </w:r>
      <w:r w:rsidR="005B1E1F">
        <w:t>based on the</w:t>
      </w:r>
      <w:r w:rsidR="0006787F">
        <w:t xml:space="preserve"> </w:t>
      </w:r>
      <w:r w:rsidR="00C9133E">
        <w:t xml:space="preserve">2016 </w:t>
      </w:r>
      <w:r w:rsidR="005B1E1F">
        <w:t xml:space="preserve">MPA </w:t>
      </w:r>
      <w:r w:rsidR="00C9133E">
        <w:t>fatality and serious injury rates</w:t>
      </w:r>
      <w:r>
        <w:t xml:space="preserve">, the year preceding the City’s </w:t>
      </w:r>
      <w:r w:rsidR="000103CA">
        <w:t xml:space="preserve">2017 </w:t>
      </w:r>
      <w:r>
        <w:t xml:space="preserve">adoption of the </w:t>
      </w:r>
      <w:r w:rsidR="000103CA">
        <w:t>Vision Zero Action P</w:t>
      </w:r>
      <w:r>
        <w:t>lan</w:t>
      </w:r>
      <w:r w:rsidR="005B1E1F">
        <w:t>. Because the plan aims to</w:t>
      </w:r>
      <w:r w:rsidR="000103CA">
        <w:t xml:space="preserve"> reduce all traffic related fatalities and serious injuries to zero by 2030</w:t>
      </w:r>
      <w:r w:rsidR="005B1E1F">
        <w:t>, within 13 years, an</w:t>
      </w:r>
      <w:r w:rsidR="00050C82">
        <w:t>nual targets are</w:t>
      </w:r>
      <w:r w:rsidR="005B1E1F">
        <w:t xml:space="preserve"> based on</w:t>
      </w:r>
      <w:r w:rsidR="00A449DE">
        <w:t xml:space="preserve"> an annual decrease of approximately 1.38 fatalities, 6.38 serious injuries and 1.08 non-motorized fatalities/</w:t>
      </w:r>
      <w:r w:rsidR="001500DB">
        <w:t xml:space="preserve">serious </w:t>
      </w:r>
      <w:r w:rsidR="00A449DE">
        <w:t>injuries (based on an annual</w:t>
      </w:r>
      <w:r w:rsidR="005B1E1F">
        <w:t xml:space="preserve"> 1/13, or </w:t>
      </w:r>
      <w:r w:rsidR="00A449DE">
        <w:t>7.69%</w:t>
      </w:r>
      <w:r w:rsidR="005B1E1F">
        <w:t>,</w:t>
      </w:r>
      <w:r w:rsidR="00A449DE">
        <w:t xml:space="preserve"> decrease from 2016 fatality and serious injury rates).  </w:t>
      </w:r>
    </w:p>
    <w:p w14:paraId="3D3EFB32" w14:textId="77777777" w:rsidR="001500DB" w:rsidRDefault="001500DB" w:rsidP="00A449DE"/>
    <w:p w14:paraId="3F4E5C2F" w14:textId="7B17A6E2" w:rsidR="001500DB" w:rsidRDefault="001500DB" w:rsidP="00A449DE">
      <w:r>
        <w:t xml:space="preserve">Although the below Vision Zero targets are initially lower than the state targets, the long-term nature </w:t>
      </w:r>
      <w:r w:rsidR="00050C82">
        <w:t>of the targets, as integral to the</w:t>
      </w:r>
      <w:r>
        <w:t xml:space="preserve"> 13 year plan, demonstrate greater decreases over time. </w:t>
      </w:r>
    </w:p>
    <w:p w14:paraId="7653096C" w14:textId="77777777" w:rsidR="00A449DE" w:rsidRDefault="00A449DE" w:rsidP="00A6180B"/>
    <w:tbl>
      <w:tblPr>
        <w:tblStyle w:val="TableGrid"/>
        <w:tblW w:w="0" w:type="auto"/>
        <w:tblLook w:val="04A0" w:firstRow="1" w:lastRow="0" w:firstColumn="1" w:lastColumn="0" w:noHBand="0" w:noVBand="1"/>
      </w:tblPr>
      <w:tblGrid>
        <w:gridCol w:w="1596"/>
        <w:gridCol w:w="1596"/>
        <w:gridCol w:w="1596"/>
        <w:gridCol w:w="1596"/>
        <w:gridCol w:w="1596"/>
        <w:gridCol w:w="1596"/>
      </w:tblGrid>
      <w:tr w:rsidR="003B2043" w14:paraId="4581414A" w14:textId="77777777" w:rsidTr="003B2043">
        <w:tc>
          <w:tcPr>
            <w:tcW w:w="1596" w:type="dxa"/>
          </w:tcPr>
          <w:p w14:paraId="4EE12996" w14:textId="2B80E9EE" w:rsidR="003B2043" w:rsidRPr="007643D9" w:rsidRDefault="003B2043" w:rsidP="007643D9">
            <w:pPr>
              <w:jc w:val="center"/>
              <w:rPr>
                <w:b/>
              </w:rPr>
            </w:pPr>
            <w:r w:rsidRPr="007643D9">
              <w:rPr>
                <w:b/>
              </w:rPr>
              <w:t>Measure</w:t>
            </w:r>
          </w:p>
        </w:tc>
        <w:tc>
          <w:tcPr>
            <w:tcW w:w="1596" w:type="dxa"/>
          </w:tcPr>
          <w:p w14:paraId="2F053F2D" w14:textId="666182A1" w:rsidR="003B2043" w:rsidRPr="007643D9" w:rsidRDefault="007643D9" w:rsidP="007643D9">
            <w:pPr>
              <w:jc w:val="center"/>
              <w:rPr>
                <w:b/>
              </w:rPr>
            </w:pPr>
            <w:r w:rsidRPr="007643D9">
              <w:rPr>
                <w:b/>
              </w:rPr>
              <w:t>Actual Numbers CY2016</w:t>
            </w:r>
          </w:p>
        </w:tc>
        <w:tc>
          <w:tcPr>
            <w:tcW w:w="1596" w:type="dxa"/>
          </w:tcPr>
          <w:p w14:paraId="77557976" w14:textId="6A2310DC" w:rsidR="003B2043" w:rsidRPr="00AC1002" w:rsidRDefault="007643D9" w:rsidP="007643D9">
            <w:pPr>
              <w:jc w:val="center"/>
              <w:rPr>
                <w:b/>
                <w:vertAlign w:val="superscript"/>
              </w:rPr>
            </w:pPr>
            <w:r w:rsidRPr="007643D9">
              <w:rPr>
                <w:b/>
              </w:rPr>
              <w:t>Target CY 2017</w:t>
            </w:r>
            <w:r w:rsidR="00AC1002">
              <w:rPr>
                <w:b/>
                <w:vertAlign w:val="superscript"/>
              </w:rPr>
              <w:t>1</w:t>
            </w:r>
          </w:p>
        </w:tc>
        <w:tc>
          <w:tcPr>
            <w:tcW w:w="1596" w:type="dxa"/>
          </w:tcPr>
          <w:p w14:paraId="25219516" w14:textId="543B5485" w:rsidR="003B2043" w:rsidRPr="007643D9" w:rsidRDefault="007643D9" w:rsidP="007643D9">
            <w:pPr>
              <w:jc w:val="center"/>
              <w:rPr>
                <w:b/>
              </w:rPr>
            </w:pPr>
            <w:r w:rsidRPr="007643D9">
              <w:rPr>
                <w:b/>
              </w:rPr>
              <w:t>Target CY 2018</w:t>
            </w:r>
          </w:p>
        </w:tc>
        <w:tc>
          <w:tcPr>
            <w:tcW w:w="1596" w:type="dxa"/>
          </w:tcPr>
          <w:p w14:paraId="14613227" w14:textId="032658D3" w:rsidR="003B2043" w:rsidRPr="007643D9" w:rsidRDefault="007643D9" w:rsidP="007643D9">
            <w:pPr>
              <w:jc w:val="center"/>
              <w:rPr>
                <w:b/>
              </w:rPr>
            </w:pPr>
            <w:r w:rsidRPr="007643D9">
              <w:rPr>
                <w:b/>
              </w:rPr>
              <w:t>Target CY 2019</w:t>
            </w:r>
          </w:p>
        </w:tc>
        <w:tc>
          <w:tcPr>
            <w:tcW w:w="1596" w:type="dxa"/>
          </w:tcPr>
          <w:p w14:paraId="6FCDCEBE" w14:textId="712A3658" w:rsidR="003B2043" w:rsidRPr="007643D9" w:rsidRDefault="007643D9" w:rsidP="007643D9">
            <w:pPr>
              <w:jc w:val="center"/>
              <w:rPr>
                <w:b/>
              </w:rPr>
            </w:pPr>
            <w:r w:rsidRPr="007643D9">
              <w:rPr>
                <w:b/>
              </w:rPr>
              <w:t>Target CY 2020</w:t>
            </w:r>
          </w:p>
        </w:tc>
      </w:tr>
      <w:tr w:rsidR="007643D9" w14:paraId="50FBFFD3" w14:textId="77777777" w:rsidTr="005E3AD5">
        <w:tc>
          <w:tcPr>
            <w:tcW w:w="1596" w:type="dxa"/>
          </w:tcPr>
          <w:p w14:paraId="0AB28DE0" w14:textId="1CD2CE5D" w:rsidR="007643D9" w:rsidRDefault="007643D9" w:rsidP="00A6180B">
            <w:r>
              <w:t>Number of Fatalities</w:t>
            </w:r>
          </w:p>
        </w:tc>
        <w:tc>
          <w:tcPr>
            <w:tcW w:w="1596" w:type="dxa"/>
            <w:vAlign w:val="bottom"/>
          </w:tcPr>
          <w:p w14:paraId="4716EB58" w14:textId="77777777" w:rsidR="007643D9" w:rsidRDefault="007643D9" w:rsidP="005E3AD5">
            <w:pPr>
              <w:jc w:val="center"/>
              <w:rPr>
                <w:rFonts w:asciiTheme="minorHAnsi" w:hAnsiTheme="minorHAnsi"/>
                <w:sz w:val="22"/>
              </w:rPr>
            </w:pPr>
          </w:p>
          <w:p w14:paraId="7EF9839E" w14:textId="554F5FF7" w:rsidR="007643D9" w:rsidRPr="007643D9" w:rsidRDefault="007643D9" w:rsidP="005E3AD5">
            <w:pPr>
              <w:jc w:val="center"/>
              <w:rPr>
                <w:rFonts w:asciiTheme="minorHAnsi" w:hAnsiTheme="minorHAnsi"/>
                <w:sz w:val="22"/>
              </w:rPr>
            </w:pPr>
            <w:r>
              <w:rPr>
                <w:rFonts w:asciiTheme="minorHAnsi" w:hAnsiTheme="minorHAnsi"/>
                <w:sz w:val="22"/>
              </w:rPr>
              <w:t>18</w:t>
            </w:r>
          </w:p>
        </w:tc>
        <w:tc>
          <w:tcPr>
            <w:tcW w:w="1596" w:type="dxa"/>
            <w:vAlign w:val="bottom"/>
          </w:tcPr>
          <w:p w14:paraId="453B3BE9" w14:textId="353C8C5E" w:rsidR="007643D9" w:rsidRPr="008822B4" w:rsidRDefault="007643D9" w:rsidP="005E3AD5">
            <w:pPr>
              <w:jc w:val="center"/>
              <w:rPr>
                <w:vertAlign w:val="superscript"/>
              </w:rPr>
            </w:pPr>
            <w:r w:rsidRPr="001C628F">
              <w:rPr>
                <w:rFonts w:ascii="Calibri" w:eastAsia="Times New Roman" w:hAnsi="Calibri" w:cs="Times New Roman"/>
                <w:color w:val="000000"/>
                <w:sz w:val="22"/>
              </w:rPr>
              <w:t>16.62</w:t>
            </w:r>
            <w:r w:rsidR="008822B4">
              <w:rPr>
                <w:rFonts w:ascii="Calibri" w:eastAsia="Times New Roman" w:hAnsi="Calibri" w:cs="Times New Roman"/>
                <w:color w:val="000000"/>
                <w:sz w:val="22"/>
                <w:vertAlign w:val="superscript"/>
              </w:rPr>
              <w:t>2</w:t>
            </w:r>
          </w:p>
        </w:tc>
        <w:tc>
          <w:tcPr>
            <w:tcW w:w="1596" w:type="dxa"/>
            <w:vAlign w:val="bottom"/>
          </w:tcPr>
          <w:p w14:paraId="0C7628B3" w14:textId="0D0045CA" w:rsidR="007643D9" w:rsidRDefault="007643D9" w:rsidP="005E3AD5">
            <w:pPr>
              <w:jc w:val="center"/>
            </w:pPr>
            <w:r w:rsidRPr="001C628F">
              <w:rPr>
                <w:rFonts w:ascii="Calibri" w:eastAsia="Times New Roman" w:hAnsi="Calibri" w:cs="Times New Roman"/>
                <w:color w:val="000000"/>
                <w:sz w:val="22"/>
              </w:rPr>
              <w:t>15.24</w:t>
            </w:r>
          </w:p>
        </w:tc>
        <w:tc>
          <w:tcPr>
            <w:tcW w:w="1596" w:type="dxa"/>
            <w:vAlign w:val="bottom"/>
          </w:tcPr>
          <w:p w14:paraId="2C040058" w14:textId="5D989B59" w:rsidR="007643D9" w:rsidRDefault="007643D9" w:rsidP="005E3AD5">
            <w:pPr>
              <w:jc w:val="center"/>
            </w:pPr>
            <w:r w:rsidRPr="001C628F">
              <w:rPr>
                <w:rFonts w:ascii="Calibri" w:eastAsia="Times New Roman" w:hAnsi="Calibri" w:cs="Times New Roman"/>
                <w:color w:val="000000"/>
                <w:sz w:val="22"/>
              </w:rPr>
              <w:t>13.86</w:t>
            </w:r>
          </w:p>
        </w:tc>
        <w:tc>
          <w:tcPr>
            <w:tcW w:w="1596" w:type="dxa"/>
            <w:vAlign w:val="bottom"/>
          </w:tcPr>
          <w:p w14:paraId="308DF4FB" w14:textId="5CB119A6" w:rsidR="007643D9" w:rsidRDefault="007643D9" w:rsidP="005E3AD5">
            <w:pPr>
              <w:jc w:val="center"/>
            </w:pPr>
            <w:r w:rsidRPr="001C628F">
              <w:rPr>
                <w:rFonts w:ascii="Calibri" w:eastAsia="Times New Roman" w:hAnsi="Calibri" w:cs="Times New Roman"/>
                <w:color w:val="000000"/>
                <w:sz w:val="22"/>
              </w:rPr>
              <w:t>12.48</w:t>
            </w:r>
          </w:p>
        </w:tc>
      </w:tr>
      <w:tr w:rsidR="007643D9" w14:paraId="58075C03" w14:textId="77777777" w:rsidTr="005E3AD5">
        <w:trPr>
          <w:trHeight w:val="773"/>
        </w:trPr>
        <w:tc>
          <w:tcPr>
            <w:tcW w:w="1596" w:type="dxa"/>
          </w:tcPr>
          <w:p w14:paraId="6E9215CB" w14:textId="6EE1C3D1" w:rsidR="007643D9" w:rsidRPr="008822B4" w:rsidRDefault="007643D9" w:rsidP="00A6180B">
            <w:pPr>
              <w:rPr>
                <w:vertAlign w:val="superscript"/>
              </w:rPr>
            </w:pPr>
            <w:r>
              <w:t>Fatality Rate per 100 Million VMT</w:t>
            </w:r>
            <w:r w:rsidR="008822B4">
              <w:rPr>
                <w:vertAlign w:val="superscript"/>
              </w:rPr>
              <w:t>3</w:t>
            </w:r>
          </w:p>
        </w:tc>
        <w:tc>
          <w:tcPr>
            <w:tcW w:w="1596" w:type="dxa"/>
            <w:vAlign w:val="bottom"/>
          </w:tcPr>
          <w:p w14:paraId="19CB5026" w14:textId="5011F276" w:rsidR="007643D9" w:rsidRDefault="007643D9" w:rsidP="005E3AD5">
            <w:pPr>
              <w:jc w:val="center"/>
              <w:rPr>
                <w:rFonts w:asciiTheme="minorHAnsi" w:hAnsiTheme="minorHAnsi"/>
                <w:color w:val="000000"/>
                <w:sz w:val="22"/>
              </w:rPr>
            </w:pPr>
          </w:p>
          <w:p w14:paraId="5B8F6A76" w14:textId="77777777" w:rsidR="007643D9" w:rsidRDefault="007643D9" w:rsidP="005E3AD5">
            <w:pPr>
              <w:jc w:val="center"/>
              <w:rPr>
                <w:rFonts w:asciiTheme="minorHAnsi" w:hAnsiTheme="minorHAnsi"/>
                <w:color w:val="000000"/>
                <w:sz w:val="22"/>
              </w:rPr>
            </w:pPr>
          </w:p>
          <w:p w14:paraId="755B0C45" w14:textId="4DFC6AD5" w:rsidR="007643D9" w:rsidRPr="007643D9" w:rsidRDefault="007643D9" w:rsidP="005E3AD5">
            <w:pPr>
              <w:jc w:val="center"/>
              <w:rPr>
                <w:rFonts w:asciiTheme="minorHAnsi" w:hAnsiTheme="minorHAnsi"/>
                <w:color w:val="000000"/>
                <w:sz w:val="22"/>
              </w:rPr>
            </w:pPr>
            <w:r>
              <w:rPr>
                <w:rFonts w:asciiTheme="minorHAnsi" w:hAnsiTheme="minorHAnsi"/>
                <w:color w:val="000000"/>
                <w:sz w:val="22"/>
              </w:rPr>
              <w:t>1.47</w:t>
            </w:r>
          </w:p>
        </w:tc>
        <w:tc>
          <w:tcPr>
            <w:tcW w:w="1596" w:type="dxa"/>
            <w:vAlign w:val="bottom"/>
          </w:tcPr>
          <w:p w14:paraId="40F2B91D" w14:textId="7358DB88" w:rsidR="007643D9" w:rsidRDefault="007643D9" w:rsidP="005E3AD5">
            <w:pPr>
              <w:jc w:val="center"/>
            </w:pPr>
            <w:r>
              <w:rPr>
                <w:rFonts w:ascii="Calibri" w:hAnsi="Calibri"/>
                <w:color w:val="000000"/>
                <w:sz w:val="22"/>
              </w:rPr>
              <w:t>1.35</w:t>
            </w:r>
          </w:p>
        </w:tc>
        <w:tc>
          <w:tcPr>
            <w:tcW w:w="1596" w:type="dxa"/>
            <w:vAlign w:val="bottom"/>
          </w:tcPr>
          <w:p w14:paraId="3AB465BA" w14:textId="5E821A0B" w:rsidR="007643D9" w:rsidRDefault="007643D9" w:rsidP="005E3AD5">
            <w:pPr>
              <w:jc w:val="center"/>
            </w:pPr>
            <w:r>
              <w:rPr>
                <w:rFonts w:ascii="Calibri" w:hAnsi="Calibri"/>
                <w:color w:val="000000"/>
                <w:sz w:val="22"/>
              </w:rPr>
              <w:t>1.22</w:t>
            </w:r>
          </w:p>
        </w:tc>
        <w:tc>
          <w:tcPr>
            <w:tcW w:w="1596" w:type="dxa"/>
            <w:vAlign w:val="bottom"/>
          </w:tcPr>
          <w:p w14:paraId="35AF6265" w14:textId="428C9640" w:rsidR="007643D9" w:rsidRDefault="007643D9" w:rsidP="005E3AD5">
            <w:pPr>
              <w:jc w:val="center"/>
            </w:pPr>
            <w:r>
              <w:rPr>
                <w:rFonts w:ascii="Calibri" w:hAnsi="Calibri"/>
                <w:color w:val="000000"/>
                <w:sz w:val="22"/>
              </w:rPr>
              <w:t>1.10</w:t>
            </w:r>
          </w:p>
        </w:tc>
        <w:tc>
          <w:tcPr>
            <w:tcW w:w="1596" w:type="dxa"/>
            <w:vAlign w:val="bottom"/>
          </w:tcPr>
          <w:p w14:paraId="245E7DA8" w14:textId="1131E673" w:rsidR="007643D9" w:rsidRDefault="007643D9" w:rsidP="005E3AD5">
            <w:pPr>
              <w:jc w:val="center"/>
            </w:pPr>
            <w:r>
              <w:rPr>
                <w:rFonts w:ascii="Calibri" w:hAnsi="Calibri"/>
                <w:color w:val="000000"/>
                <w:sz w:val="22"/>
              </w:rPr>
              <w:t>0.98</w:t>
            </w:r>
          </w:p>
        </w:tc>
      </w:tr>
      <w:tr w:rsidR="007643D9" w14:paraId="515B0AF2" w14:textId="77777777" w:rsidTr="00AC4125">
        <w:trPr>
          <w:trHeight w:val="818"/>
        </w:trPr>
        <w:tc>
          <w:tcPr>
            <w:tcW w:w="1596" w:type="dxa"/>
          </w:tcPr>
          <w:p w14:paraId="2D61D1F5" w14:textId="51576E6E" w:rsidR="00AC4125" w:rsidRDefault="00AC4125" w:rsidP="00A6180B">
            <w:r>
              <w:t>Number of Serious Injuries</w:t>
            </w:r>
          </w:p>
        </w:tc>
        <w:tc>
          <w:tcPr>
            <w:tcW w:w="1596" w:type="dxa"/>
            <w:vAlign w:val="bottom"/>
          </w:tcPr>
          <w:p w14:paraId="600CE27E" w14:textId="77777777" w:rsidR="007643D9" w:rsidRDefault="007643D9" w:rsidP="00AC4125">
            <w:pPr>
              <w:rPr>
                <w:rFonts w:asciiTheme="minorHAnsi" w:hAnsiTheme="minorHAnsi"/>
                <w:sz w:val="22"/>
              </w:rPr>
            </w:pPr>
          </w:p>
          <w:p w14:paraId="3AC2E766" w14:textId="77777777" w:rsidR="007643D9" w:rsidRDefault="007643D9" w:rsidP="005E3AD5">
            <w:pPr>
              <w:jc w:val="center"/>
              <w:rPr>
                <w:rFonts w:asciiTheme="minorHAnsi" w:hAnsiTheme="minorHAnsi"/>
                <w:sz w:val="22"/>
              </w:rPr>
            </w:pPr>
          </w:p>
          <w:p w14:paraId="1CC068F1" w14:textId="6959F2C2" w:rsidR="007643D9" w:rsidRPr="007643D9" w:rsidRDefault="007643D9" w:rsidP="00AC4125">
            <w:pPr>
              <w:jc w:val="center"/>
              <w:rPr>
                <w:rFonts w:asciiTheme="minorHAnsi" w:hAnsiTheme="minorHAnsi"/>
                <w:sz w:val="22"/>
              </w:rPr>
            </w:pPr>
            <w:r>
              <w:rPr>
                <w:rFonts w:asciiTheme="minorHAnsi" w:hAnsiTheme="minorHAnsi"/>
                <w:sz w:val="22"/>
              </w:rPr>
              <w:t>83</w:t>
            </w:r>
          </w:p>
        </w:tc>
        <w:tc>
          <w:tcPr>
            <w:tcW w:w="1596" w:type="dxa"/>
            <w:vAlign w:val="bottom"/>
          </w:tcPr>
          <w:p w14:paraId="1C869D3A" w14:textId="32EAE48C" w:rsidR="007643D9" w:rsidRDefault="007643D9" w:rsidP="005E3AD5">
            <w:pPr>
              <w:jc w:val="center"/>
            </w:pPr>
            <w:r w:rsidRPr="001C628F">
              <w:rPr>
                <w:rFonts w:ascii="Calibri" w:eastAsia="Times New Roman" w:hAnsi="Calibri" w:cs="Times New Roman"/>
                <w:color w:val="000000"/>
                <w:sz w:val="22"/>
              </w:rPr>
              <w:t>76.62</w:t>
            </w:r>
          </w:p>
        </w:tc>
        <w:tc>
          <w:tcPr>
            <w:tcW w:w="1596" w:type="dxa"/>
            <w:vAlign w:val="bottom"/>
          </w:tcPr>
          <w:p w14:paraId="734A6BF8" w14:textId="402DF2A9" w:rsidR="007643D9" w:rsidRDefault="007643D9" w:rsidP="005E3AD5">
            <w:pPr>
              <w:jc w:val="center"/>
            </w:pPr>
            <w:r w:rsidRPr="001C628F">
              <w:rPr>
                <w:rFonts w:ascii="Calibri" w:eastAsia="Times New Roman" w:hAnsi="Calibri" w:cs="Times New Roman"/>
                <w:color w:val="000000"/>
                <w:sz w:val="22"/>
              </w:rPr>
              <w:t>70.24</w:t>
            </w:r>
          </w:p>
        </w:tc>
        <w:tc>
          <w:tcPr>
            <w:tcW w:w="1596" w:type="dxa"/>
            <w:vAlign w:val="bottom"/>
          </w:tcPr>
          <w:p w14:paraId="091D0840" w14:textId="266CE4D3" w:rsidR="007643D9" w:rsidRDefault="007643D9" w:rsidP="005E3AD5">
            <w:pPr>
              <w:jc w:val="center"/>
            </w:pPr>
            <w:r w:rsidRPr="001C628F">
              <w:rPr>
                <w:rFonts w:ascii="Calibri" w:eastAsia="Times New Roman" w:hAnsi="Calibri" w:cs="Times New Roman"/>
                <w:color w:val="000000"/>
                <w:sz w:val="22"/>
              </w:rPr>
              <w:t>63.86</w:t>
            </w:r>
          </w:p>
        </w:tc>
        <w:tc>
          <w:tcPr>
            <w:tcW w:w="1596" w:type="dxa"/>
            <w:vAlign w:val="bottom"/>
          </w:tcPr>
          <w:p w14:paraId="39D23C2B" w14:textId="426295C1" w:rsidR="007643D9" w:rsidRDefault="007643D9" w:rsidP="005E3AD5">
            <w:pPr>
              <w:jc w:val="center"/>
            </w:pPr>
            <w:r w:rsidRPr="001C628F">
              <w:rPr>
                <w:rFonts w:ascii="Calibri" w:eastAsia="Times New Roman" w:hAnsi="Calibri" w:cs="Times New Roman"/>
                <w:color w:val="000000"/>
                <w:sz w:val="22"/>
              </w:rPr>
              <w:t>57.48</w:t>
            </w:r>
          </w:p>
        </w:tc>
      </w:tr>
      <w:tr w:rsidR="007643D9" w14:paraId="4C6CB5ED" w14:textId="77777777" w:rsidTr="005E3AD5">
        <w:tc>
          <w:tcPr>
            <w:tcW w:w="1596" w:type="dxa"/>
          </w:tcPr>
          <w:p w14:paraId="2CBFD123" w14:textId="21B96280" w:rsidR="007643D9" w:rsidRDefault="007643D9" w:rsidP="00A6180B">
            <w:r>
              <w:t>Serious Injury Rate per 100 Million VMT</w:t>
            </w:r>
          </w:p>
        </w:tc>
        <w:tc>
          <w:tcPr>
            <w:tcW w:w="1596" w:type="dxa"/>
            <w:vAlign w:val="bottom"/>
          </w:tcPr>
          <w:p w14:paraId="356DA8BA" w14:textId="77777777" w:rsidR="007643D9" w:rsidRPr="007643D9" w:rsidRDefault="007643D9" w:rsidP="005E3AD5">
            <w:pPr>
              <w:jc w:val="center"/>
              <w:rPr>
                <w:rFonts w:asciiTheme="minorHAnsi" w:hAnsiTheme="minorHAnsi"/>
                <w:color w:val="000000"/>
                <w:sz w:val="22"/>
              </w:rPr>
            </w:pPr>
          </w:p>
          <w:p w14:paraId="55C702C8" w14:textId="4AEEBC77" w:rsidR="007643D9" w:rsidRPr="007643D9" w:rsidRDefault="007643D9" w:rsidP="005E3AD5">
            <w:pPr>
              <w:jc w:val="center"/>
              <w:rPr>
                <w:rFonts w:asciiTheme="minorHAnsi" w:hAnsiTheme="minorHAnsi"/>
                <w:sz w:val="22"/>
              </w:rPr>
            </w:pPr>
            <w:r w:rsidRPr="007643D9">
              <w:rPr>
                <w:rFonts w:asciiTheme="minorHAnsi" w:hAnsiTheme="minorHAnsi"/>
                <w:sz w:val="22"/>
              </w:rPr>
              <w:t>6.78</w:t>
            </w:r>
          </w:p>
        </w:tc>
        <w:tc>
          <w:tcPr>
            <w:tcW w:w="1596" w:type="dxa"/>
            <w:vAlign w:val="bottom"/>
          </w:tcPr>
          <w:p w14:paraId="4EC28F0B" w14:textId="784E9729" w:rsidR="007643D9" w:rsidRDefault="007643D9" w:rsidP="005E3AD5">
            <w:pPr>
              <w:jc w:val="center"/>
            </w:pPr>
            <w:r w:rsidRPr="001C628F">
              <w:rPr>
                <w:rFonts w:ascii="Calibri" w:eastAsia="Times New Roman" w:hAnsi="Calibri" w:cs="Times New Roman"/>
                <w:color w:val="000000"/>
                <w:sz w:val="22"/>
              </w:rPr>
              <w:t>6.20</w:t>
            </w:r>
          </w:p>
        </w:tc>
        <w:tc>
          <w:tcPr>
            <w:tcW w:w="1596" w:type="dxa"/>
            <w:vAlign w:val="bottom"/>
          </w:tcPr>
          <w:p w14:paraId="18F6716A" w14:textId="3DC30EFE" w:rsidR="007643D9" w:rsidRDefault="007643D9" w:rsidP="005E3AD5">
            <w:pPr>
              <w:jc w:val="center"/>
            </w:pPr>
            <w:r w:rsidRPr="001C628F">
              <w:rPr>
                <w:rFonts w:ascii="Calibri" w:eastAsia="Times New Roman" w:hAnsi="Calibri" w:cs="Times New Roman"/>
                <w:color w:val="000000"/>
                <w:sz w:val="22"/>
              </w:rPr>
              <w:t>5.63</w:t>
            </w:r>
          </w:p>
        </w:tc>
        <w:tc>
          <w:tcPr>
            <w:tcW w:w="1596" w:type="dxa"/>
            <w:vAlign w:val="bottom"/>
          </w:tcPr>
          <w:p w14:paraId="4169AFDF" w14:textId="3A9348BF" w:rsidR="007643D9" w:rsidRDefault="007643D9" w:rsidP="005E3AD5">
            <w:pPr>
              <w:jc w:val="center"/>
            </w:pPr>
            <w:r w:rsidRPr="001C628F">
              <w:rPr>
                <w:rFonts w:ascii="Calibri" w:eastAsia="Times New Roman" w:hAnsi="Calibri" w:cs="Times New Roman"/>
                <w:color w:val="000000"/>
                <w:sz w:val="22"/>
              </w:rPr>
              <w:t>5.07</w:t>
            </w:r>
          </w:p>
        </w:tc>
        <w:tc>
          <w:tcPr>
            <w:tcW w:w="1596" w:type="dxa"/>
            <w:vAlign w:val="bottom"/>
          </w:tcPr>
          <w:p w14:paraId="0E8CD8FA" w14:textId="5B17EDFF" w:rsidR="007643D9" w:rsidRDefault="007643D9" w:rsidP="005E3AD5">
            <w:pPr>
              <w:jc w:val="center"/>
            </w:pPr>
            <w:r w:rsidRPr="001C628F">
              <w:rPr>
                <w:rFonts w:ascii="Calibri" w:eastAsia="Times New Roman" w:hAnsi="Calibri" w:cs="Times New Roman"/>
                <w:color w:val="000000"/>
                <w:sz w:val="22"/>
              </w:rPr>
              <w:t>4.51</w:t>
            </w:r>
          </w:p>
        </w:tc>
      </w:tr>
      <w:tr w:rsidR="007643D9" w14:paraId="44E22AB8" w14:textId="77777777" w:rsidTr="005E3AD5">
        <w:tc>
          <w:tcPr>
            <w:tcW w:w="1596" w:type="dxa"/>
          </w:tcPr>
          <w:p w14:paraId="018C2D67" w14:textId="69DCF37B" w:rsidR="007643D9" w:rsidRDefault="007643D9" w:rsidP="00A6180B">
            <w:r>
              <w:t>Number of Non-Motorized Fatalities and Serious Injuries</w:t>
            </w:r>
          </w:p>
        </w:tc>
        <w:tc>
          <w:tcPr>
            <w:tcW w:w="1596" w:type="dxa"/>
            <w:vAlign w:val="bottom"/>
          </w:tcPr>
          <w:p w14:paraId="79B675E5" w14:textId="43C0F35A" w:rsidR="007643D9" w:rsidRPr="007643D9" w:rsidRDefault="007643D9" w:rsidP="005E3AD5">
            <w:pPr>
              <w:jc w:val="center"/>
              <w:rPr>
                <w:rFonts w:asciiTheme="minorHAnsi" w:hAnsiTheme="minorHAnsi"/>
                <w:sz w:val="22"/>
              </w:rPr>
            </w:pPr>
            <w:r w:rsidRPr="007643D9">
              <w:rPr>
                <w:rFonts w:asciiTheme="minorHAnsi" w:hAnsiTheme="minorHAnsi"/>
                <w:color w:val="000000"/>
                <w:sz w:val="22"/>
              </w:rPr>
              <w:t>14</w:t>
            </w:r>
          </w:p>
        </w:tc>
        <w:tc>
          <w:tcPr>
            <w:tcW w:w="1596" w:type="dxa"/>
            <w:vAlign w:val="bottom"/>
          </w:tcPr>
          <w:p w14:paraId="67D5DC35" w14:textId="7A0A0AF5" w:rsidR="007643D9" w:rsidRDefault="007643D9" w:rsidP="005E3AD5">
            <w:pPr>
              <w:jc w:val="center"/>
            </w:pPr>
            <w:r>
              <w:rPr>
                <w:rFonts w:ascii="Calibri" w:hAnsi="Calibri"/>
                <w:color w:val="000000"/>
                <w:sz w:val="22"/>
              </w:rPr>
              <w:t>12.92</w:t>
            </w:r>
          </w:p>
        </w:tc>
        <w:tc>
          <w:tcPr>
            <w:tcW w:w="1596" w:type="dxa"/>
            <w:vAlign w:val="bottom"/>
          </w:tcPr>
          <w:p w14:paraId="126DD8F7" w14:textId="7F22F8B1" w:rsidR="007643D9" w:rsidRDefault="007643D9" w:rsidP="005E3AD5">
            <w:pPr>
              <w:jc w:val="center"/>
            </w:pPr>
            <w:r>
              <w:rPr>
                <w:rFonts w:ascii="Calibri" w:hAnsi="Calibri"/>
                <w:color w:val="000000"/>
                <w:sz w:val="22"/>
              </w:rPr>
              <w:t>11.84</w:t>
            </w:r>
          </w:p>
        </w:tc>
        <w:tc>
          <w:tcPr>
            <w:tcW w:w="1596" w:type="dxa"/>
            <w:vAlign w:val="bottom"/>
          </w:tcPr>
          <w:p w14:paraId="1B292AF0" w14:textId="3F5A95E9" w:rsidR="007643D9" w:rsidRDefault="007643D9" w:rsidP="005E3AD5">
            <w:pPr>
              <w:jc w:val="center"/>
            </w:pPr>
            <w:r>
              <w:rPr>
                <w:rFonts w:ascii="Calibri" w:hAnsi="Calibri"/>
                <w:color w:val="000000"/>
                <w:sz w:val="22"/>
              </w:rPr>
              <w:t>10.76</w:t>
            </w:r>
          </w:p>
        </w:tc>
        <w:tc>
          <w:tcPr>
            <w:tcW w:w="1596" w:type="dxa"/>
            <w:vAlign w:val="bottom"/>
          </w:tcPr>
          <w:p w14:paraId="1560FD4D" w14:textId="40122428" w:rsidR="007643D9" w:rsidRDefault="007643D9" w:rsidP="005E3AD5">
            <w:pPr>
              <w:jc w:val="center"/>
            </w:pPr>
            <w:r>
              <w:rPr>
                <w:rFonts w:ascii="Calibri" w:hAnsi="Calibri"/>
                <w:color w:val="000000"/>
                <w:sz w:val="22"/>
              </w:rPr>
              <w:t>9.68</w:t>
            </w:r>
          </w:p>
        </w:tc>
      </w:tr>
    </w:tbl>
    <w:p w14:paraId="196369BD" w14:textId="7AC008FA" w:rsidR="00355A5E" w:rsidRDefault="00355A5E" w:rsidP="00355A5E"/>
    <w:p w14:paraId="6E05A8A1" w14:textId="60182DDB" w:rsidR="00AC1002" w:rsidRPr="008822B4" w:rsidRDefault="00AC1002" w:rsidP="00AC1002">
      <w:r>
        <w:rPr>
          <w:vertAlign w:val="superscript"/>
        </w:rPr>
        <w:t>1</w:t>
      </w:r>
      <w:r w:rsidR="008822B4">
        <w:t xml:space="preserve">Actual 2017 numbers have not yet </w:t>
      </w:r>
      <w:r w:rsidR="00376297">
        <w:t>been reported, but when finalized</w:t>
      </w:r>
      <w:r w:rsidR="008822B4">
        <w:t xml:space="preserve"> can </w:t>
      </w:r>
      <w:r w:rsidR="00376297">
        <w:t xml:space="preserve">be </w:t>
      </w:r>
      <w:r w:rsidR="008822B4">
        <w:t>compare</w:t>
      </w:r>
      <w:r w:rsidR="00376297">
        <w:t>d</w:t>
      </w:r>
      <w:r w:rsidR="008822B4">
        <w:t xml:space="preserve"> to target</w:t>
      </w:r>
      <w:r w:rsidR="00376297">
        <w:t xml:space="preserve"> numbers</w:t>
      </w:r>
      <w:r w:rsidR="008822B4">
        <w:t xml:space="preserve">. </w:t>
      </w:r>
    </w:p>
    <w:p w14:paraId="5F38D23D" w14:textId="1C599580" w:rsidR="00AC1002" w:rsidRPr="004C3443" w:rsidRDefault="00AC1002" w:rsidP="00AC1002">
      <w:r>
        <w:rPr>
          <w:vertAlign w:val="superscript"/>
        </w:rPr>
        <w:t>2</w:t>
      </w:r>
      <w:r>
        <w:rPr>
          <w:rFonts w:eastAsia="Times New Roman" w:cs="Times New Roman"/>
          <w:bCs/>
          <w:szCs w:val="24"/>
        </w:rPr>
        <w:t>All numbers rounded to the nearest 10</w:t>
      </w:r>
      <w:r w:rsidRPr="003D1FEA">
        <w:rPr>
          <w:rFonts w:eastAsia="Times New Roman" w:cs="Times New Roman"/>
          <w:bCs/>
          <w:szCs w:val="24"/>
          <w:vertAlign w:val="superscript"/>
        </w:rPr>
        <w:t>th</w:t>
      </w:r>
      <w:r>
        <w:rPr>
          <w:rFonts w:eastAsia="Times New Roman" w:cs="Times New Roman"/>
          <w:bCs/>
          <w:szCs w:val="24"/>
        </w:rPr>
        <w:t xml:space="preserve"> or 100</w:t>
      </w:r>
      <w:r w:rsidRPr="003D1FEA">
        <w:rPr>
          <w:rFonts w:eastAsia="Times New Roman" w:cs="Times New Roman"/>
          <w:bCs/>
          <w:szCs w:val="24"/>
          <w:vertAlign w:val="superscript"/>
        </w:rPr>
        <w:t>th</w:t>
      </w:r>
      <w:r w:rsidR="004C3443">
        <w:rPr>
          <w:rFonts w:eastAsia="Times New Roman" w:cs="Times New Roman"/>
          <w:bCs/>
          <w:szCs w:val="24"/>
        </w:rPr>
        <w:t>.</w:t>
      </w:r>
    </w:p>
    <w:p w14:paraId="21E6484D" w14:textId="6BFD5193" w:rsidR="00AC1002" w:rsidRDefault="00AC1002" w:rsidP="00AC1002">
      <w:pPr>
        <w:rPr>
          <w:rFonts w:eastAsia="Times New Roman" w:cs="Times New Roman"/>
          <w:bCs/>
          <w:szCs w:val="24"/>
        </w:rPr>
      </w:pPr>
      <w:r>
        <w:rPr>
          <w:rFonts w:eastAsia="Times New Roman" w:cs="Times New Roman"/>
          <w:bCs/>
          <w:szCs w:val="24"/>
          <w:vertAlign w:val="superscript"/>
        </w:rPr>
        <w:t xml:space="preserve">3 </w:t>
      </w:r>
      <w:r w:rsidR="00FE51A8">
        <w:rPr>
          <w:rFonts w:eastAsia="Times New Roman" w:cs="Times New Roman"/>
          <w:bCs/>
          <w:szCs w:val="24"/>
        </w:rPr>
        <w:t xml:space="preserve">MoDOT </w:t>
      </w:r>
      <w:r w:rsidR="00FE51A8">
        <w:rPr>
          <w:rFonts w:cs="Times New Roman"/>
        </w:rPr>
        <w:t xml:space="preserve">2016 CATSO VMT estimate is </w:t>
      </w:r>
      <w:r w:rsidR="00FE51A8" w:rsidRPr="00571FB1">
        <w:t>1</w:t>
      </w:r>
      <w:r w:rsidR="00FE51A8">
        <w:t>,</w:t>
      </w:r>
      <w:r w:rsidR="00FE51A8" w:rsidRPr="00571FB1">
        <w:t>223</w:t>
      </w:r>
      <w:r w:rsidR="00FE51A8">
        <w:t>,</w:t>
      </w:r>
      <w:r w:rsidR="00FE51A8" w:rsidRPr="00571FB1">
        <w:t>420</w:t>
      </w:r>
      <w:r w:rsidR="00FE51A8">
        <w:t>,</w:t>
      </w:r>
      <w:r w:rsidR="00FE51A8" w:rsidRPr="00571FB1">
        <w:t>505</w:t>
      </w:r>
      <w:r w:rsidR="00FE51A8">
        <w:rPr>
          <w:rFonts w:eastAsia="Times New Roman" w:cs="Times New Roman"/>
          <w:bCs/>
          <w:szCs w:val="24"/>
        </w:rPr>
        <w:t xml:space="preserve">. Annual </w:t>
      </w:r>
      <w:r w:rsidR="00FE51A8">
        <w:t>1% VMT increase</w:t>
      </w:r>
      <w:r w:rsidR="00B364AB">
        <w:rPr>
          <w:rFonts w:eastAsia="Times New Roman" w:cs="Times New Roman"/>
          <w:bCs/>
          <w:szCs w:val="24"/>
        </w:rPr>
        <w:t xml:space="preserve"> </w:t>
      </w:r>
      <w:r w:rsidR="00050C82">
        <w:rPr>
          <w:rFonts w:eastAsia="Times New Roman" w:cs="Times New Roman"/>
          <w:bCs/>
          <w:szCs w:val="24"/>
        </w:rPr>
        <w:t>for all subsequent</w:t>
      </w:r>
      <w:r w:rsidR="00FE51A8">
        <w:rPr>
          <w:rFonts w:eastAsia="Times New Roman" w:cs="Times New Roman"/>
          <w:bCs/>
          <w:szCs w:val="24"/>
        </w:rPr>
        <w:t xml:space="preserve"> years.</w:t>
      </w:r>
      <w:r>
        <w:rPr>
          <w:rFonts w:eastAsia="Times New Roman" w:cs="Times New Roman"/>
          <w:bCs/>
          <w:szCs w:val="24"/>
        </w:rPr>
        <w:t xml:space="preserve"> </w:t>
      </w:r>
    </w:p>
    <w:p w14:paraId="4439D3EE" w14:textId="3926771E" w:rsidR="00AC1002" w:rsidRPr="0036439A" w:rsidRDefault="00AC1002" w:rsidP="00777C71">
      <w:pPr>
        <w:rPr>
          <w:rFonts w:eastAsia="Times New Roman" w:cs="Times New Roman"/>
          <w:bCs/>
          <w:szCs w:val="24"/>
        </w:rPr>
      </w:pPr>
      <w:r>
        <w:rPr>
          <w:rFonts w:eastAsia="Times New Roman" w:cs="Times New Roman"/>
          <w:bCs/>
          <w:szCs w:val="24"/>
          <w:vertAlign w:val="superscript"/>
        </w:rPr>
        <w:t xml:space="preserve">4 </w:t>
      </w:r>
      <w:r>
        <w:rPr>
          <w:rFonts w:eastAsia="Times New Roman" w:cs="Times New Roman"/>
          <w:bCs/>
          <w:szCs w:val="24"/>
        </w:rPr>
        <w:t xml:space="preserve">Non-motorized fatalities and serious injuries are included in the total numbers of fatalities and serious injuries, and are also shown separately to demonstrate the data and targets related specifically to vulnerable road users. </w:t>
      </w:r>
      <w:bookmarkStart w:id="0" w:name="_GoBack"/>
      <w:bookmarkEnd w:id="0"/>
    </w:p>
    <w:p w14:paraId="33C91988" w14:textId="77777777" w:rsidR="004C3443" w:rsidRDefault="004C3443" w:rsidP="00777C71"/>
    <w:p w14:paraId="43083466" w14:textId="208D7287" w:rsidR="008C6369" w:rsidRPr="008B07C8" w:rsidRDefault="008C6369" w:rsidP="008C6369">
      <w:pPr>
        <w:rPr>
          <w:rFonts w:eastAsia="Times New Roman" w:cs="Times New Roman"/>
          <w:i/>
          <w:sz w:val="20"/>
          <w:szCs w:val="24"/>
        </w:rPr>
      </w:pPr>
      <w:r>
        <w:rPr>
          <w:rFonts w:eastAsia="Times New Roman" w:cs="Times New Roman"/>
          <w:i/>
          <w:sz w:val="20"/>
          <w:szCs w:val="24"/>
        </w:rPr>
        <w:t>Item</w:t>
      </w:r>
      <w:r w:rsidR="00303884">
        <w:rPr>
          <w:rFonts w:eastAsia="Times New Roman" w:cs="Times New Roman"/>
          <w:i/>
          <w:sz w:val="20"/>
          <w:szCs w:val="24"/>
        </w:rPr>
        <w:t xml:space="preserve"> 5</w:t>
      </w:r>
      <w:r w:rsidRPr="008B07C8">
        <w:rPr>
          <w:rFonts w:eastAsia="Times New Roman" w:cs="Times New Roman"/>
          <w:i/>
          <w:sz w:val="20"/>
          <w:szCs w:val="24"/>
        </w:rPr>
        <w:t xml:space="preserve"> – </w:t>
      </w:r>
      <w:r>
        <w:rPr>
          <w:rFonts w:eastAsia="Times New Roman" w:cs="Times New Roman"/>
          <w:i/>
          <w:sz w:val="20"/>
          <w:szCs w:val="24"/>
        </w:rPr>
        <w:t>February</w:t>
      </w:r>
      <w:r w:rsidR="00E82666">
        <w:rPr>
          <w:rFonts w:eastAsia="Times New Roman" w:cs="Times New Roman"/>
          <w:i/>
          <w:sz w:val="20"/>
          <w:szCs w:val="24"/>
        </w:rPr>
        <w:t xml:space="preserve"> </w:t>
      </w:r>
      <w:r>
        <w:rPr>
          <w:rFonts w:eastAsia="Times New Roman" w:cs="Times New Roman"/>
          <w:i/>
          <w:sz w:val="20"/>
          <w:szCs w:val="24"/>
        </w:rPr>
        <w:t xml:space="preserve">7, 2018 </w:t>
      </w:r>
      <w:r w:rsidRPr="008B07C8">
        <w:rPr>
          <w:rFonts w:eastAsia="Times New Roman" w:cs="Times New Roman"/>
          <w:i/>
          <w:sz w:val="20"/>
          <w:szCs w:val="24"/>
        </w:rPr>
        <w:t xml:space="preserve">CATSO </w:t>
      </w:r>
      <w:r>
        <w:rPr>
          <w:rFonts w:eastAsia="Times New Roman" w:cs="Times New Roman"/>
          <w:i/>
          <w:sz w:val="20"/>
          <w:szCs w:val="24"/>
        </w:rPr>
        <w:t xml:space="preserve">Technical </w:t>
      </w:r>
      <w:r w:rsidRPr="008B07C8">
        <w:rPr>
          <w:rFonts w:eastAsia="Times New Roman" w:cs="Times New Roman"/>
          <w:i/>
          <w:sz w:val="20"/>
          <w:szCs w:val="24"/>
        </w:rPr>
        <w:t xml:space="preserve">– </w:t>
      </w:r>
      <w:r>
        <w:rPr>
          <w:rFonts w:eastAsia="Times New Roman" w:cs="Times New Roman"/>
          <w:i/>
          <w:sz w:val="20"/>
          <w:szCs w:val="24"/>
        </w:rPr>
        <w:t>Fast Ac</w:t>
      </w:r>
      <w:r w:rsidR="00277F4B">
        <w:rPr>
          <w:rFonts w:eastAsia="Times New Roman" w:cs="Times New Roman"/>
          <w:i/>
          <w:sz w:val="20"/>
          <w:szCs w:val="24"/>
        </w:rPr>
        <w:t>t Safety Targets/</w:t>
      </w:r>
      <w:r>
        <w:rPr>
          <w:rFonts w:eastAsia="Times New Roman" w:cs="Times New Roman"/>
          <w:i/>
          <w:sz w:val="20"/>
          <w:szCs w:val="24"/>
        </w:rPr>
        <w:t xml:space="preserve"> Adoption of Vision Zero</w:t>
      </w:r>
    </w:p>
    <w:p w14:paraId="2CCF05EC" w14:textId="337A3370" w:rsidR="008C6369" w:rsidRPr="008B07C8" w:rsidRDefault="008C6369" w:rsidP="008C6369">
      <w:pPr>
        <w:rPr>
          <w:rFonts w:eastAsia="Times New Roman" w:cs="Times New Roman"/>
          <w:i/>
          <w:sz w:val="20"/>
          <w:szCs w:val="24"/>
        </w:rPr>
      </w:pPr>
      <w:r>
        <w:rPr>
          <w:rFonts w:eastAsia="Times New Roman" w:cs="Times New Roman"/>
          <w:i/>
          <w:sz w:val="20"/>
          <w:szCs w:val="24"/>
        </w:rPr>
        <w:t>Page 4</w:t>
      </w:r>
    </w:p>
    <w:p w14:paraId="75ECFE19" w14:textId="77777777" w:rsidR="0006787F" w:rsidRDefault="0006787F" w:rsidP="00777C71"/>
    <w:p w14:paraId="4BEEDA47" w14:textId="77777777" w:rsidR="00F81C6D" w:rsidRDefault="00F81C6D" w:rsidP="00C9133E"/>
    <w:p w14:paraId="1F1CDBA9" w14:textId="49230F9F" w:rsidR="00355A5E" w:rsidRPr="000E4C59" w:rsidRDefault="000E4C59" w:rsidP="00720999">
      <w:pPr>
        <w:rPr>
          <w:b/>
          <w:i/>
          <w:sz w:val="28"/>
          <w:szCs w:val="28"/>
        </w:rPr>
      </w:pPr>
      <w:r w:rsidRPr="005317B0">
        <w:rPr>
          <w:b/>
          <w:i/>
          <w:sz w:val="28"/>
          <w:szCs w:val="28"/>
        </w:rPr>
        <w:t>Suggested Technical Committee Action</w:t>
      </w:r>
    </w:p>
    <w:p w14:paraId="6B330094" w14:textId="7F2E5942" w:rsidR="000E4C59" w:rsidRPr="00681E97" w:rsidRDefault="000E4C59" w:rsidP="000E4C59">
      <w:r w:rsidRPr="00681E97">
        <w:t>Staff requests that the Technical Committee make a recommendation to the Coordinating C</w:t>
      </w:r>
      <w:r w:rsidR="00FD6B23">
        <w:t>ommittee on the preferred saf</w:t>
      </w:r>
      <w:r w:rsidR="00104DA6">
        <w:t>ety targets to be used</w:t>
      </w:r>
      <w:r w:rsidR="00FD6B23">
        <w:t xml:space="preserve"> and on the potential adoption of Vision Zero 2030.</w:t>
      </w:r>
    </w:p>
    <w:p w14:paraId="3ACB4C81" w14:textId="77777777" w:rsidR="00BE5A94" w:rsidRDefault="00BE5A94" w:rsidP="00720999"/>
    <w:sectPr w:rsidR="00BE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99"/>
    <w:rsid w:val="000103CA"/>
    <w:rsid w:val="00032003"/>
    <w:rsid w:val="00050C82"/>
    <w:rsid w:val="00060A03"/>
    <w:rsid w:val="0006787F"/>
    <w:rsid w:val="00087B8C"/>
    <w:rsid w:val="000A3D29"/>
    <w:rsid w:val="000B6057"/>
    <w:rsid w:val="000C1A32"/>
    <w:rsid w:val="000D1C67"/>
    <w:rsid w:val="000E43EF"/>
    <w:rsid w:val="000E4C59"/>
    <w:rsid w:val="00100C79"/>
    <w:rsid w:val="00104DA6"/>
    <w:rsid w:val="00126EB4"/>
    <w:rsid w:val="00132A8C"/>
    <w:rsid w:val="001500DB"/>
    <w:rsid w:val="00164816"/>
    <w:rsid w:val="0018130E"/>
    <w:rsid w:val="00183324"/>
    <w:rsid w:val="001932BB"/>
    <w:rsid w:val="001C628F"/>
    <w:rsid w:val="001F5638"/>
    <w:rsid w:val="0020051A"/>
    <w:rsid w:val="00231554"/>
    <w:rsid w:val="002372CE"/>
    <w:rsid w:val="00245039"/>
    <w:rsid w:val="002552F5"/>
    <w:rsid w:val="00277F4B"/>
    <w:rsid w:val="00286AEB"/>
    <w:rsid w:val="002B5F60"/>
    <w:rsid w:val="002E6BC4"/>
    <w:rsid w:val="00303884"/>
    <w:rsid w:val="00326577"/>
    <w:rsid w:val="0033658D"/>
    <w:rsid w:val="00355A5E"/>
    <w:rsid w:val="0036439A"/>
    <w:rsid w:val="00367230"/>
    <w:rsid w:val="00370FD6"/>
    <w:rsid w:val="00376297"/>
    <w:rsid w:val="003B0782"/>
    <w:rsid w:val="003B2043"/>
    <w:rsid w:val="003C42B7"/>
    <w:rsid w:val="003C5DB7"/>
    <w:rsid w:val="003D1FEA"/>
    <w:rsid w:val="003D7D92"/>
    <w:rsid w:val="003E63AD"/>
    <w:rsid w:val="00457674"/>
    <w:rsid w:val="0049216A"/>
    <w:rsid w:val="004C3443"/>
    <w:rsid w:val="004D5A92"/>
    <w:rsid w:val="004E3E50"/>
    <w:rsid w:val="005007F6"/>
    <w:rsid w:val="00521922"/>
    <w:rsid w:val="00523A32"/>
    <w:rsid w:val="00532FF9"/>
    <w:rsid w:val="00550BA6"/>
    <w:rsid w:val="0057029F"/>
    <w:rsid w:val="00571FB1"/>
    <w:rsid w:val="00594EF1"/>
    <w:rsid w:val="005A7061"/>
    <w:rsid w:val="005A72C2"/>
    <w:rsid w:val="005A771A"/>
    <w:rsid w:val="005B1E1F"/>
    <w:rsid w:val="005C7FE4"/>
    <w:rsid w:val="005E265F"/>
    <w:rsid w:val="005E3AD5"/>
    <w:rsid w:val="00620616"/>
    <w:rsid w:val="00625AF6"/>
    <w:rsid w:val="0063776E"/>
    <w:rsid w:val="00645231"/>
    <w:rsid w:val="006453FB"/>
    <w:rsid w:val="006822A3"/>
    <w:rsid w:val="006A57B2"/>
    <w:rsid w:val="006B2045"/>
    <w:rsid w:val="006E7C42"/>
    <w:rsid w:val="00701CA6"/>
    <w:rsid w:val="007067D9"/>
    <w:rsid w:val="00720999"/>
    <w:rsid w:val="0076397B"/>
    <w:rsid w:val="007643D9"/>
    <w:rsid w:val="00764A3A"/>
    <w:rsid w:val="00764C7A"/>
    <w:rsid w:val="00777C71"/>
    <w:rsid w:val="007907BC"/>
    <w:rsid w:val="007C1FCA"/>
    <w:rsid w:val="007C218C"/>
    <w:rsid w:val="007E6491"/>
    <w:rsid w:val="007F03C3"/>
    <w:rsid w:val="0082611D"/>
    <w:rsid w:val="0085301E"/>
    <w:rsid w:val="00881EBA"/>
    <w:rsid w:val="008822B4"/>
    <w:rsid w:val="00883CB7"/>
    <w:rsid w:val="008A0FF8"/>
    <w:rsid w:val="008C6369"/>
    <w:rsid w:val="008E7819"/>
    <w:rsid w:val="008F39C3"/>
    <w:rsid w:val="0095458E"/>
    <w:rsid w:val="009560A2"/>
    <w:rsid w:val="009D15C7"/>
    <w:rsid w:val="009F0339"/>
    <w:rsid w:val="00A449DE"/>
    <w:rsid w:val="00A6180B"/>
    <w:rsid w:val="00A82F5D"/>
    <w:rsid w:val="00AB4AFB"/>
    <w:rsid w:val="00AC1002"/>
    <w:rsid w:val="00AC4125"/>
    <w:rsid w:val="00AC798E"/>
    <w:rsid w:val="00AD2D06"/>
    <w:rsid w:val="00B24F3F"/>
    <w:rsid w:val="00B349D9"/>
    <w:rsid w:val="00B364AB"/>
    <w:rsid w:val="00B4582E"/>
    <w:rsid w:val="00B548E0"/>
    <w:rsid w:val="00BE5A94"/>
    <w:rsid w:val="00BF5E6E"/>
    <w:rsid w:val="00C43271"/>
    <w:rsid w:val="00C711AE"/>
    <w:rsid w:val="00C736A1"/>
    <w:rsid w:val="00C807F2"/>
    <w:rsid w:val="00C9133E"/>
    <w:rsid w:val="00C95F4D"/>
    <w:rsid w:val="00CA2D02"/>
    <w:rsid w:val="00CC67EA"/>
    <w:rsid w:val="00CC6A81"/>
    <w:rsid w:val="00CE2693"/>
    <w:rsid w:val="00CF368B"/>
    <w:rsid w:val="00D3108B"/>
    <w:rsid w:val="00D60935"/>
    <w:rsid w:val="00D7291B"/>
    <w:rsid w:val="00D770A0"/>
    <w:rsid w:val="00D77635"/>
    <w:rsid w:val="00DC698B"/>
    <w:rsid w:val="00DD0E70"/>
    <w:rsid w:val="00DD4FD5"/>
    <w:rsid w:val="00DD6D83"/>
    <w:rsid w:val="00DE5EF4"/>
    <w:rsid w:val="00DF051D"/>
    <w:rsid w:val="00DF75FE"/>
    <w:rsid w:val="00E174EF"/>
    <w:rsid w:val="00E465A1"/>
    <w:rsid w:val="00E75B53"/>
    <w:rsid w:val="00E82666"/>
    <w:rsid w:val="00EA54F8"/>
    <w:rsid w:val="00EA5D23"/>
    <w:rsid w:val="00EE2C7C"/>
    <w:rsid w:val="00EE2E0E"/>
    <w:rsid w:val="00F44821"/>
    <w:rsid w:val="00F44E5C"/>
    <w:rsid w:val="00F647D6"/>
    <w:rsid w:val="00F778E8"/>
    <w:rsid w:val="00F77DF9"/>
    <w:rsid w:val="00F81C6D"/>
    <w:rsid w:val="00F870E0"/>
    <w:rsid w:val="00FB0335"/>
    <w:rsid w:val="00FD6B23"/>
    <w:rsid w:val="00FE51A8"/>
    <w:rsid w:val="00FF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335"/>
    <w:rPr>
      <w:rFonts w:ascii="Tahoma" w:hAnsi="Tahoma" w:cs="Tahoma"/>
      <w:sz w:val="16"/>
      <w:szCs w:val="16"/>
    </w:rPr>
  </w:style>
  <w:style w:type="character" w:customStyle="1" w:styleId="BalloonTextChar">
    <w:name w:val="Balloon Text Char"/>
    <w:basedOn w:val="DefaultParagraphFont"/>
    <w:link w:val="BalloonText"/>
    <w:uiPriority w:val="99"/>
    <w:semiHidden/>
    <w:rsid w:val="00FB0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335"/>
    <w:rPr>
      <w:rFonts w:ascii="Tahoma" w:hAnsi="Tahoma" w:cs="Tahoma"/>
      <w:sz w:val="16"/>
      <w:szCs w:val="16"/>
    </w:rPr>
  </w:style>
  <w:style w:type="character" w:customStyle="1" w:styleId="BalloonTextChar">
    <w:name w:val="Balloon Text Char"/>
    <w:basedOn w:val="DefaultParagraphFont"/>
    <w:link w:val="BalloonText"/>
    <w:uiPriority w:val="99"/>
    <w:semiHidden/>
    <w:rsid w:val="00FB0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223">
      <w:bodyDiv w:val="1"/>
      <w:marLeft w:val="0"/>
      <w:marRight w:val="0"/>
      <w:marTop w:val="0"/>
      <w:marBottom w:val="0"/>
      <w:divBdr>
        <w:top w:val="none" w:sz="0" w:space="0" w:color="auto"/>
        <w:left w:val="none" w:sz="0" w:space="0" w:color="auto"/>
        <w:bottom w:val="none" w:sz="0" w:space="0" w:color="auto"/>
        <w:right w:val="none" w:sz="0" w:space="0" w:color="auto"/>
      </w:divBdr>
    </w:div>
    <w:div w:id="299849161">
      <w:bodyDiv w:val="1"/>
      <w:marLeft w:val="0"/>
      <w:marRight w:val="0"/>
      <w:marTop w:val="0"/>
      <w:marBottom w:val="0"/>
      <w:divBdr>
        <w:top w:val="none" w:sz="0" w:space="0" w:color="auto"/>
        <w:left w:val="none" w:sz="0" w:space="0" w:color="auto"/>
        <w:bottom w:val="none" w:sz="0" w:space="0" w:color="auto"/>
        <w:right w:val="none" w:sz="0" w:space="0" w:color="auto"/>
      </w:divBdr>
    </w:div>
    <w:div w:id="404232137">
      <w:bodyDiv w:val="1"/>
      <w:marLeft w:val="0"/>
      <w:marRight w:val="0"/>
      <w:marTop w:val="0"/>
      <w:marBottom w:val="0"/>
      <w:divBdr>
        <w:top w:val="none" w:sz="0" w:space="0" w:color="auto"/>
        <w:left w:val="none" w:sz="0" w:space="0" w:color="auto"/>
        <w:bottom w:val="none" w:sz="0" w:space="0" w:color="auto"/>
        <w:right w:val="none" w:sz="0" w:space="0" w:color="auto"/>
      </w:divBdr>
    </w:div>
    <w:div w:id="448470245">
      <w:bodyDiv w:val="1"/>
      <w:marLeft w:val="0"/>
      <w:marRight w:val="0"/>
      <w:marTop w:val="0"/>
      <w:marBottom w:val="0"/>
      <w:divBdr>
        <w:top w:val="none" w:sz="0" w:space="0" w:color="auto"/>
        <w:left w:val="none" w:sz="0" w:space="0" w:color="auto"/>
        <w:bottom w:val="none" w:sz="0" w:space="0" w:color="auto"/>
        <w:right w:val="none" w:sz="0" w:space="0" w:color="auto"/>
      </w:divBdr>
    </w:div>
    <w:div w:id="453788130">
      <w:bodyDiv w:val="1"/>
      <w:marLeft w:val="0"/>
      <w:marRight w:val="0"/>
      <w:marTop w:val="0"/>
      <w:marBottom w:val="0"/>
      <w:divBdr>
        <w:top w:val="none" w:sz="0" w:space="0" w:color="auto"/>
        <w:left w:val="none" w:sz="0" w:space="0" w:color="auto"/>
        <w:bottom w:val="none" w:sz="0" w:space="0" w:color="auto"/>
        <w:right w:val="none" w:sz="0" w:space="0" w:color="auto"/>
      </w:divBdr>
    </w:div>
    <w:div w:id="457800841">
      <w:bodyDiv w:val="1"/>
      <w:marLeft w:val="0"/>
      <w:marRight w:val="0"/>
      <w:marTop w:val="0"/>
      <w:marBottom w:val="0"/>
      <w:divBdr>
        <w:top w:val="none" w:sz="0" w:space="0" w:color="auto"/>
        <w:left w:val="none" w:sz="0" w:space="0" w:color="auto"/>
        <w:bottom w:val="none" w:sz="0" w:space="0" w:color="auto"/>
        <w:right w:val="none" w:sz="0" w:space="0" w:color="auto"/>
      </w:divBdr>
    </w:div>
    <w:div w:id="468207538">
      <w:bodyDiv w:val="1"/>
      <w:marLeft w:val="0"/>
      <w:marRight w:val="0"/>
      <w:marTop w:val="0"/>
      <w:marBottom w:val="0"/>
      <w:divBdr>
        <w:top w:val="none" w:sz="0" w:space="0" w:color="auto"/>
        <w:left w:val="none" w:sz="0" w:space="0" w:color="auto"/>
        <w:bottom w:val="none" w:sz="0" w:space="0" w:color="auto"/>
        <w:right w:val="none" w:sz="0" w:space="0" w:color="auto"/>
      </w:divBdr>
    </w:div>
    <w:div w:id="738021296">
      <w:bodyDiv w:val="1"/>
      <w:marLeft w:val="0"/>
      <w:marRight w:val="0"/>
      <w:marTop w:val="0"/>
      <w:marBottom w:val="0"/>
      <w:divBdr>
        <w:top w:val="none" w:sz="0" w:space="0" w:color="auto"/>
        <w:left w:val="none" w:sz="0" w:space="0" w:color="auto"/>
        <w:bottom w:val="none" w:sz="0" w:space="0" w:color="auto"/>
        <w:right w:val="none" w:sz="0" w:space="0" w:color="auto"/>
      </w:divBdr>
    </w:div>
    <w:div w:id="753207234">
      <w:bodyDiv w:val="1"/>
      <w:marLeft w:val="0"/>
      <w:marRight w:val="0"/>
      <w:marTop w:val="0"/>
      <w:marBottom w:val="0"/>
      <w:divBdr>
        <w:top w:val="none" w:sz="0" w:space="0" w:color="auto"/>
        <w:left w:val="none" w:sz="0" w:space="0" w:color="auto"/>
        <w:bottom w:val="none" w:sz="0" w:space="0" w:color="auto"/>
        <w:right w:val="none" w:sz="0" w:space="0" w:color="auto"/>
      </w:divBdr>
    </w:div>
    <w:div w:id="915091607">
      <w:bodyDiv w:val="1"/>
      <w:marLeft w:val="0"/>
      <w:marRight w:val="0"/>
      <w:marTop w:val="0"/>
      <w:marBottom w:val="0"/>
      <w:divBdr>
        <w:top w:val="none" w:sz="0" w:space="0" w:color="auto"/>
        <w:left w:val="none" w:sz="0" w:space="0" w:color="auto"/>
        <w:bottom w:val="none" w:sz="0" w:space="0" w:color="auto"/>
        <w:right w:val="none" w:sz="0" w:space="0" w:color="auto"/>
      </w:divBdr>
    </w:div>
    <w:div w:id="1226572225">
      <w:bodyDiv w:val="1"/>
      <w:marLeft w:val="0"/>
      <w:marRight w:val="0"/>
      <w:marTop w:val="0"/>
      <w:marBottom w:val="0"/>
      <w:divBdr>
        <w:top w:val="none" w:sz="0" w:space="0" w:color="auto"/>
        <w:left w:val="none" w:sz="0" w:space="0" w:color="auto"/>
        <w:bottom w:val="none" w:sz="0" w:space="0" w:color="auto"/>
        <w:right w:val="none" w:sz="0" w:space="0" w:color="auto"/>
      </w:divBdr>
    </w:div>
    <w:div w:id="1290434624">
      <w:bodyDiv w:val="1"/>
      <w:marLeft w:val="0"/>
      <w:marRight w:val="0"/>
      <w:marTop w:val="0"/>
      <w:marBottom w:val="0"/>
      <w:divBdr>
        <w:top w:val="none" w:sz="0" w:space="0" w:color="auto"/>
        <w:left w:val="none" w:sz="0" w:space="0" w:color="auto"/>
        <w:bottom w:val="none" w:sz="0" w:space="0" w:color="auto"/>
        <w:right w:val="none" w:sz="0" w:space="0" w:color="auto"/>
      </w:divBdr>
    </w:div>
    <w:div w:id="1360164268">
      <w:bodyDiv w:val="1"/>
      <w:marLeft w:val="0"/>
      <w:marRight w:val="0"/>
      <w:marTop w:val="0"/>
      <w:marBottom w:val="0"/>
      <w:divBdr>
        <w:top w:val="none" w:sz="0" w:space="0" w:color="auto"/>
        <w:left w:val="none" w:sz="0" w:space="0" w:color="auto"/>
        <w:bottom w:val="none" w:sz="0" w:space="0" w:color="auto"/>
        <w:right w:val="none" w:sz="0" w:space="0" w:color="auto"/>
      </w:divBdr>
    </w:div>
    <w:div w:id="1481917865">
      <w:bodyDiv w:val="1"/>
      <w:marLeft w:val="0"/>
      <w:marRight w:val="0"/>
      <w:marTop w:val="0"/>
      <w:marBottom w:val="0"/>
      <w:divBdr>
        <w:top w:val="none" w:sz="0" w:space="0" w:color="auto"/>
        <w:left w:val="none" w:sz="0" w:space="0" w:color="auto"/>
        <w:bottom w:val="none" w:sz="0" w:space="0" w:color="auto"/>
        <w:right w:val="none" w:sz="0" w:space="0" w:color="auto"/>
      </w:divBdr>
    </w:div>
    <w:div w:id="1527209100">
      <w:bodyDiv w:val="1"/>
      <w:marLeft w:val="0"/>
      <w:marRight w:val="0"/>
      <w:marTop w:val="0"/>
      <w:marBottom w:val="0"/>
      <w:divBdr>
        <w:top w:val="none" w:sz="0" w:space="0" w:color="auto"/>
        <w:left w:val="none" w:sz="0" w:space="0" w:color="auto"/>
        <w:bottom w:val="none" w:sz="0" w:space="0" w:color="auto"/>
        <w:right w:val="none" w:sz="0" w:space="0" w:color="auto"/>
      </w:divBdr>
    </w:div>
    <w:div w:id="1729955512">
      <w:bodyDiv w:val="1"/>
      <w:marLeft w:val="0"/>
      <w:marRight w:val="0"/>
      <w:marTop w:val="0"/>
      <w:marBottom w:val="0"/>
      <w:divBdr>
        <w:top w:val="none" w:sz="0" w:space="0" w:color="auto"/>
        <w:left w:val="none" w:sz="0" w:space="0" w:color="auto"/>
        <w:bottom w:val="none" w:sz="0" w:space="0" w:color="auto"/>
        <w:right w:val="none" w:sz="0" w:space="0" w:color="auto"/>
      </w:divBdr>
    </w:div>
    <w:div w:id="1914661494">
      <w:bodyDiv w:val="1"/>
      <w:marLeft w:val="0"/>
      <w:marRight w:val="0"/>
      <w:marTop w:val="0"/>
      <w:marBottom w:val="0"/>
      <w:divBdr>
        <w:top w:val="none" w:sz="0" w:space="0" w:color="auto"/>
        <w:left w:val="none" w:sz="0" w:space="0" w:color="auto"/>
        <w:bottom w:val="none" w:sz="0" w:space="0" w:color="auto"/>
        <w:right w:val="none" w:sz="0" w:space="0" w:color="auto"/>
      </w:divBdr>
    </w:div>
    <w:div w:id="1945187461">
      <w:bodyDiv w:val="1"/>
      <w:marLeft w:val="0"/>
      <w:marRight w:val="0"/>
      <w:marTop w:val="0"/>
      <w:marBottom w:val="0"/>
      <w:divBdr>
        <w:top w:val="none" w:sz="0" w:space="0" w:color="auto"/>
        <w:left w:val="none" w:sz="0" w:space="0" w:color="auto"/>
        <w:bottom w:val="none" w:sz="0" w:space="0" w:color="auto"/>
        <w:right w:val="none" w:sz="0" w:space="0" w:color="auto"/>
      </w:divBdr>
    </w:div>
    <w:div w:id="2113433830">
      <w:bodyDiv w:val="1"/>
      <w:marLeft w:val="0"/>
      <w:marRight w:val="0"/>
      <w:marTop w:val="0"/>
      <w:marBottom w:val="0"/>
      <w:divBdr>
        <w:top w:val="none" w:sz="0" w:space="0" w:color="auto"/>
        <w:left w:val="none" w:sz="0" w:space="0" w:color="auto"/>
        <w:bottom w:val="none" w:sz="0" w:space="0" w:color="auto"/>
        <w:right w:val="none" w:sz="0" w:space="0" w:color="auto"/>
      </w:divBdr>
    </w:div>
    <w:div w:id="21359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627B7A28AAB4C9472AA41D650945B" ma:contentTypeVersion="1" ma:contentTypeDescription="Create a new document." ma:contentTypeScope="" ma:versionID="f1e653df2f7ca24b2e2a58bdbe88037c">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3A20544-91BC-412A-9828-11C685EEC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ECF81-3A07-44B5-A262-7F9659F95079}">
  <ds:schemaRefs>
    <ds:schemaRef ds:uri="http://schemas.microsoft.com/sharepoint/v3/contenttype/forms"/>
  </ds:schemaRefs>
</ds:datastoreItem>
</file>

<file path=customXml/itemProps3.xml><?xml version="1.0" encoding="utf-8"?>
<ds:datastoreItem xmlns:ds="http://schemas.openxmlformats.org/officeDocument/2006/customXml" ds:itemID="{D7B0C7E1-107D-4027-BFEF-54F5DA39B24E}">
  <ds:schemaRef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sharepoint/v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 Miller</dc:creator>
  <cp:lastModifiedBy>Leah C. Christian</cp:lastModifiedBy>
  <cp:revision>160</cp:revision>
  <cp:lastPrinted>2017-08-10T13:08:00Z</cp:lastPrinted>
  <dcterms:created xsi:type="dcterms:W3CDTF">2018-01-16T23:02:00Z</dcterms:created>
  <dcterms:modified xsi:type="dcterms:W3CDTF">2018-02-05T17:27:00Z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0x01010029D627B7A28AAB4C9472AA41D650945B</vt:lpwstr>
  </property>
</Properties>
</file>