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67B4F">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167B4F">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67B4F" w:rsidRPr="00167B4F">
            <w:rPr>
              <w:rFonts w:ascii="Century Gothic" w:eastAsiaTheme="majorEastAsia" w:hAnsi="Century Gothic"/>
              <w:i/>
            </w:rPr>
            <w:t>The Villas at Old Hawthorne PD</w:t>
          </w:r>
          <w:r w:rsidR="00167B4F" w:rsidRPr="00167B4F">
            <w:rPr>
              <w:rFonts w:ascii="Century Gothic" w:eastAsiaTheme="majorEastAsia" w:hAnsi="Century Gothic"/>
            </w:rPr>
            <w:t xml:space="preserve"> plan</w:t>
          </w:r>
          <w:r w:rsidR="00167B4F">
            <w:rPr>
              <w:rFonts w:ascii="Century Gothic" w:eastAsiaTheme="majorEastAsia" w:hAnsi="Century Gothic"/>
            </w:rPr>
            <w:t xml:space="preserve"> – Major Amendment (Case #18-5)</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67B4F">
          <w:pPr>
            <w:rPr>
              <w:rFonts w:ascii="Century Gothic" w:hAnsi="Century Gothic"/>
            </w:rPr>
          </w:pPr>
          <w:r>
            <w:rPr>
              <w:rFonts w:ascii="Century Gothic" w:hAnsi="Century Gothic"/>
            </w:rPr>
            <w:t>Approval will amend the existing PD p</w:t>
          </w:r>
          <w:r w:rsidR="002C5AA8">
            <w:rPr>
              <w:rFonts w:ascii="Century Gothic" w:hAnsi="Century Gothic"/>
            </w:rPr>
            <w:t>lan to allow additional lots and to restrict certain lots to single-family detached dwellings.</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0A5DE0" w:rsidRDefault="002C5AA8" w:rsidP="00CE4274">
          <w:pPr>
            <w:rPr>
              <w:rFonts w:ascii="Century Gothic" w:hAnsi="Century Gothic"/>
            </w:rPr>
          </w:pPr>
          <w:r w:rsidRPr="002C5AA8">
            <w:rPr>
              <w:rFonts w:ascii="Century Gothic" w:hAnsi="Century Gothic"/>
            </w:rPr>
            <w:t>A Civil Group (agent)</w:t>
          </w:r>
          <w:r w:rsidR="002933B9">
            <w:rPr>
              <w:rFonts w:ascii="Century Gothic" w:hAnsi="Century Gothic"/>
            </w:rPr>
            <w:t>,</w:t>
          </w:r>
          <w:r w:rsidRPr="002C5AA8">
            <w:rPr>
              <w:rFonts w:ascii="Century Gothic" w:hAnsi="Century Gothic"/>
            </w:rPr>
            <w:t xml:space="preserve"> on behalf of Lifestyle Development, </w:t>
          </w:r>
          <w:r w:rsidR="002933B9" w:rsidRPr="002C5AA8">
            <w:rPr>
              <w:rFonts w:ascii="Century Gothic" w:hAnsi="Century Gothic"/>
            </w:rPr>
            <w:t>Inc.</w:t>
          </w:r>
          <w:r w:rsidRPr="002C5AA8">
            <w:rPr>
              <w:rFonts w:ascii="Century Gothic" w:hAnsi="Century Gothic"/>
            </w:rPr>
            <w:t xml:space="preserve"> (owner)</w:t>
          </w:r>
          <w:r>
            <w:rPr>
              <w:rFonts w:ascii="Century Gothic" w:hAnsi="Century Gothic"/>
            </w:rPr>
            <w:t xml:space="preserve">, is seeking </w:t>
          </w:r>
          <w:r w:rsidRPr="002C5AA8">
            <w:rPr>
              <w:rFonts w:ascii="Century Gothic" w:hAnsi="Century Gothic"/>
            </w:rPr>
            <w:t xml:space="preserve">approval of a major amendment to </w:t>
          </w:r>
          <w:r w:rsidRPr="002C5AA8">
            <w:rPr>
              <w:rFonts w:ascii="Century Gothic" w:hAnsi="Century Gothic"/>
              <w:i/>
            </w:rPr>
            <w:t>The Villas at Old Hawthorne PD</w:t>
          </w:r>
          <w:r w:rsidRPr="002C5AA8">
            <w:rPr>
              <w:rFonts w:ascii="Century Gothic" w:hAnsi="Century Gothic"/>
            </w:rPr>
            <w:t xml:space="preserve"> plan, most recently revised 2/15/17, to amend the lot layouts along Caymus and Harlan Courts.  The subject site is located east and west of Old Hawthorne Drive West, approximately one-half mile north of State Highway WW</w:t>
          </w:r>
          <w:r w:rsidR="000A5DE0">
            <w:rPr>
              <w:rFonts w:ascii="Century Gothic" w:hAnsi="Century Gothic"/>
            </w:rPr>
            <w:t>.</w:t>
          </w:r>
          <w:r w:rsidR="007A2127">
            <w:rPr>
              <w:rFonts w:ascii="Century Gothic" w:hAnsi="Century Gothic"/>
            </w:rPr>
            <w:t xml:space="preserve"> The majority</w:t>
          </w:r>
          <w:r w:rsidR="006A6FF1">
            <w:rPr>
              <w:rFonts w:ascii="Century Gothic" w:hAnsi="Century Gothic"/>
            </w:rPr>
            <w:t xml:space="preserve"> of </w:t>
          </w:r>
          <w:r w:rsidR="007A2127">
            <w:rPr>
              <w:rFonts w:ascii="Century Gothic" w:hAnsi="Century Gothic"/>
            </w:rPr>
            <w:t xml:space="preserve">home sites at </w:t>
          </w:r>
          <w:r w:rsidR="006A6FF1">
            <w:rPr>
              <w:rFonts w:ascii="Century Gothic" w:hAnsi="Century Gothic"/>
            </w:rPr>
            <w:t xml:space="preserve">The Villas </w:t>
          </w:r>
          <w:r w:rsidR="007A2127">
            <w:rPr>
              <w:rFonts w:ascii="Century Gothic" w:hAnsi="Century Gothic"/>
            </w:rPr>
            <w:t>are</w:t>
          </w:r>
          <w:r w:rsidR="006A6FF1">
            <w:rPr>
              <w:rFonts w:ascii="Century Gothic" w:hAnsi="Century Gothic"/>
            </w:rPr>
            <w:t xml:space="preserve"> developed; these changes involve two </w:t>
          </w:r>
          <w:r w:rsidR="00472F27">
            <w:rPr>
              <w:rFonts w:ascii="Century Gothic" w:hAnsi="Century Gothic"/>
            </w:rPr>
            <w:t xml:space="preserve">previously </w:t>
          </w:r>
          <w:r w:rsidR="006A6FF1">
            <w:rPr>
              <w:rFonts w:ascii="Century Gothic" w:hAnsi="Century Gothic"/>
            </w:rPr>
            <w:t>planned cul-de-sac streets.</w:t>
          </w:r>
        </w:p>
        <w:p w:rsidR="000A5DE0" w:rsidRDefault="000A5DE0" w:rsidP="00CE4274">
          <w:pPr>
            <w:rPr>
              <w:rFonts w:ascii="Century Gothic" w:hAnsi="Century Gothic"/>
            </w:rPr>
          </w:pPr>
        </w:p>
        <w:p w:rsidR="000A5DE0" w:rsidRDefault="000A5DE0" w:rsidP="00CE4274">
          <w:pPr>
            <w:rPr>
              <w:rFonts w:ascii="Century Gothic" w:hAnsi="Century Gothic"/>
            </w:rPr>
          </w:pPr>
          <w:r>
            <w:rPr>
              <w:rFonts w:ascii="Century Gothic" w:hAnsi="Century Gothic"/>
            </w:rPr>
            <w:t>The requested amendment is to allow three additional lots along Caymus and Harlan Courts.  These lots will also be restricted to allow only single-family detached housing; currently they are permitted to construct attached housing</w:t>
          </w:r>
          <w:r w:rsidR="002933B9">
            <w:rPr>
              <w:rFonts w:ascii="Century Gothic" w:hAnsi="Century Gothic"/>
            </w:rPr>
            <w:t xml:space="preserve"> as well</w:t>
          </w:r>
          <w:r>
            <w:rPr>
              <w:rFonts w:ascii="Century Gothic" w:hAnsi="Century Gothic"/>
            </w:rPr>
            <w:t xml:space="preserve">, with multiple dwelling </w:t>
          </w:r>
          <w:r w:rsidR="002933B9">
            <w:rPr>
              <w:rFonts w:ascii="Century Gothic" w:hAnsi="Century Gothic"/>
            </w:rPr>
            <w:t>units per lot</w:t>
          </w:r>
          <w:r>
            <w:rPr>
              <w:rFonts w:ascii="Century Gothic" w:hAnsi="Century Gothic"/>
            </w:rPr>
            <w:t xml:space="preserve">.  </w:t>
          </w:r>
        </w:p>
        <w:p w:rsidR="000A5DE0" w:rsidRDefault="000A5DE0" w:rsidP="00CE4274">
          <w:pPr>
            <w:rPr>
              <w:rFonts w:ascii="Century Gothic" w:hAnsi="Century Gothic"/>
            </w:rPr>
          </w:pPr>
        </w:p>
        <w:p w:rsidR="000A5DE0" w:rsidRDefault="000A5DE0" w:rsidP="000A5DE0">
          <w:pPr>
            <w:rPr>
              <w:rFonts w:ascii="Century Gothic" w:hAnsi="Century Gothic"/>
            </w:rPr>
          </w:pPr>
          <w:r w:rsidRPr="00E9222C">
            <w:rPr>
              <w:rFonts w:ascii="Century Gothic" w:hAnsi="Century Gothic"/>
            </w:rPr>
            <w:t xml:space="preserve">At its </w:t>
          </w:r>
          <w:r>
            <w:rPr>
              <w:rFonts w:ascii="Century Gothic" w:hAnsi="Century Gothic"/>
            </w:rPr>
            <w:t xml:space="preserve">December </w:t>
          </w:r>
          <w:r w:rsidR="00FF6575">
            <w:rPr>
              <w:rFonts w:ascii="Century Gothic" w:hAnsi="Century Gothic"/>
            </w:rPr>
            <w:t>21</w:t>
          </w:r>
          <w:r w:rsidRPr="00E9222C">
            <w:rPr>
              <w:rFonts w:ascii="Century Gothic" w:hAnsi="Century Gothic"/>
            </w:rPr>
            <w:t>, 2017 meeting, the Planning and Zoning Commission considered this request.  Staff presented its report</w:t>
          </w:r>
          <w:r w:rsidR="002933B9">
            <w:rPr>
              <w:rFonts w:ascii="Century Gothic" w:hAnsi="Century Gothic"/>
            </w:rPr>
            <w:t>, and n</w:t>
          </w:r>
          <w:r w:rsidRPr="008C3B33">
            <w:rPr>
              <w:rFonts w:ascii="Century Gothic" w:hAnsi="Century Gothic"/>
            </w:rPr>
            <w:t xml:space="preserve">o one from the public spoke </w:t>
          </w:r>
          <w:r>
            <w:rPr>
              <w:rFonts w:ascii="Century Gothic" w:hAnsi="Century Gothic"/>
            </w:rPr>
            <w:t>during the public hearing</w:t>
          </w:r>
          <w:r w:rsidRPr="008C3B33">
            <w:rPr>
              <w:rFonts w:ascii="Century Gothic" w:hAnsi="Century Gothic"/>
            </w:rPr>
            <w:t xml:space="preserve">.  Following </w:t>
          </w:r>
          <w:r>
            <w:rPr>
              <w:rFonts w:ascii="Century Gothic" w:hAnsi="Century Gothic"/>
            </w:rPr>
            <w:t>limited</w:t>
          </w:r>
          <w:r w:rsidRPr="008C3B33">
            <w:rPr>
              <w:rFonts w:ascii="Century Gothic" w:hAnsi="Century Gothic"/>
            </w:rPr>
            <w:t xml:space="preserve"> discussion, the Commission voted (</w:t>
          </w:r>
          <w:r>
            <w:rPr>
              <w:rFonts w:ascii="Century Gothic" w:hAnsi="Century Gothic"/>
            </w:rPr>
            <w:t>8-0</w:t>
          </w:r>
          <w:r w:rsidRPr="008C3B33">
            <w:rPr>
              <w:rFonts w:ascii="Century Gothic" w:hAnsi="Century Gothic"/>
            </w:rPr>
            <w:t xml:space="preserve">) to recommend approval of the </w:t>
          </w:r>
          <w:r>
            <w:rPr>
              <w:rFonts w:ascii="Century Gothic" w:hAnsi="Century Gothic"/>
            </w:rPr>
            <w:t xml:space="preserve">major amendment to the PD plan. </w:t>
          </w:r>
        </w:p>
        <w:p w:rsidR="000A5DE0" w:rsidRDefault="000A5DE0" w:rsidP="000A5DE0">
          <w:pPr>
            <w:rPr>
              <w:rFonts w:ascii="Century Gothic" w:hAnsi="Century Gothic"/>
            </w:rPr>
          </w:pPr>
        </w:p>
        <w:p w:rsidR="00CE4274" w:rsidRDefault="000A5DE0" w:rsidP="00CE4274">
          <w:pPr>
            <w:rPr>
              <w:rFonts w:ascii="Century Gothic" w:hAnsi="Century Gothic"/>
            </w:rPr>
          </w:pPr>
          <w:r w:rsidRPr="008C3B33">
            <w:rPr>
              <w:rFonts w:ascii="Century Gothic" w:hAnsi="Century Gothic"/>
            </w:rPr>
            <w:t xml:space="preserve">A copy of the Planning Commission staff report, locator maps, </w:t>
          </w:r>
          <w:r w:rsidRPr="000A5DE0">
            <w:rPr>
              <w:rFonts w:ascii="Century Gothic" w:hAnsi="Century Gothic"/>
              <w:i/>
            </w:rPr>
            <w:t>The Villas at Old Hawthorne PD</w:t>
          </w:r>
          <w:r w:rsidRPr="000A5DE0">
            <w:rPr>
              <w:rFonts w:ascii="Century Gothic" w:hAnsi="Century Gothic"/>
            </w:rPr>
            <w:t xml:space="preserve"> </w:t>
          </w:r>
          <w:r w:rsidRPr="000A5DE0">
            <w:rPr>
              <w:rFonts w:ascii="Century Gothic" w:hAnsi="Century Gothic"/>
              <w:i/>
            </w:rPr>
            <w:t>plan</w:t>
          </w:r>
          <w:r w:rsidRPr="008C3B33">
            <w:rPr>
              <w:rFonts w:ascii="Century Gothic" w:hAnsi="Century Gothic"/>
            </w:rPr>
            <w:t xml:space="preserve">, </w:t>
          </w:r>
          <w:r>
            <w:rPr>
              <w:rFonts w:ascii="Century Gothic" w:hAnsi="Century Gothic"/>
            </w:rPr>
            <w:t xml:space="preserve">previously approved </w:t>
          </w:r>
          <w:r w:rsidRPr="000A5DE0">
            <w:rPr>
              <w:rFonts w:ascii="Century Gothic" w:hAnsi="Century Gothic"/>
            </w:rPr>
            <w:t>Statement of Intent</w:t>
          </w:r>
          <w:r>
            <w:rPr>
              <w:rFonts w:ascii="Century Gothic" w:hAnsi="Century Gothic"/>
            </w:rPr>
            <w:t xml:space="preserve">, previously approved </w:t>
          </w:r>
          <w:r w:rsidRPr="000A5DE0">
            <w:rPr>
              <w:rFonts w:ascii="Century Gothic" w:hAnsi="Century Gothic"/>
              <w:i/>
            </w:rPr>
            <w:t>The Villas at Old Hawthorne PD</w:t>
          </w:r>
          <w:r w:rsidRPr="000A5DE0">
            <w:rPr>
              <w:rFonts w:ascii="Century Gothic" w:hAnsi="Century Gothic"/>
            </w:rPr>
            <w:t xml:space="preserve"> </w:t>
          </w:r>
          <w:r w:rsidRPr="000A5DE0">
            <w:rPr>
              <w:rFonts w:ascii="Century Gothic" w:hAnsi="Century Gothic"/>
              <w:i/>
            </w:rPr>
            <w:t>plan (2/15/17)</w:t>
          </w:r>
          <w:r w:rsidRPr="008C3B33">
            <w:rPr>
              <w:rFonts w:ascii="Century Gothic" w:hAnsi="Century Gothic"/>
            </w:rPr>
            <w:t>, and meeting excerpts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0A5DE0" w:rsidRPr="008C3B33" w:rsidRDefault="000A5DE0" w:rsidP="000A5DE0">
      <w:pPr>
        <w:rPr>
          <w:rFonts w:ascii="Century Gothic" w:hAnsi="Century Gothic"/>
        </w:rPr>
      </w:pPr>
      <w:r w:rsidRPr="008C3B33">
        <w:rPr>
          <w:rFonts w:ascii="Century Gothic" w:hAnsi="Century Gothic"/>
        </w:rPr>
        <w:t>Short-Term Impact: Limited short-term impact.  All infrastructure extension will be at developer's expense.</w:t>
      </w:r>
    </w:p>
    <w:p w:rsidR="000A5DE0" w:rsidRPr="008C3B33" w:rsidRDefault="000A5DE0" w:rsidP="000A5DE0">
      <w:pPr>
        <w:rPr>
          <w:rFonts w:ascii="Century Gothic" w:hAnsi="Century Gothic"/>
        </w:rPr>
      </w:pPr>
    </w:p>
    <w:p w:rsidR="00C379A1" w:rsidRDefault="000A5DE0" w:rsidP="000A5DE0">
      <w:pPr>
        <w:rPr>
          <w:rFonts w:ascii="Century Gothic" w:hAnsi="Century Gothic"/>
        </w:rPr>
      </w:pPr>
      <w:r w:rsidRPr="008C3B33">
        <w:rPr>
          <w:rFonts w:ascii="Century Gothic" w:hAnsi="Century Gothic"/>
        </w:rPr>
        <w:t>Long-Term Impact: Public infrastructure maintenance such as roads and sewers, as well as public safety and solid waste service provision.  Future impacts may be offset by increased user fees and property tax collection</w:t>
      </w:r>
      <w:r>
        <w:rPr>
          <w:rFonts w:ascii="Century Gothic" w:hAnsi="Century Gothic"/>
        </w:rPr>
        <w:t>s.</w:t>
      </w:r>
    </w:p>
    <w:p w:rsidR="00D31A08" w:rsidRDefault="00D31A08">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01D0E0E" wp14:editId="15B1054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2B42F8">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D0E0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2B42F8">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8337CF">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A5DE0">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A5DE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A5DE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D31A08" w:rsidRPr="00D31A08" w:rsidRDefault="008337CF" w:rsidP="00D31A08">
      <w:pPr>
        <w:rPr>
          <w:rFonts w:ascii="Century Gothic" w:hAnsi="Century Gothic"/>
          <w:u w:val="single"/>
        </w:rPr>
      </w:pPr>
      <w:hyperlink r:id="rId8" w:history="1">
        <w:r w:rsidR="00D31A08" w:rsidRPr="00D31A08">
          <w:rPr>
            <w:rStyle w:val="Hyperlink"/>
            <w:rFonts w:ascii="Century Gothic" w:hAnsi="Century Gothic"/>
          </w:rPr>
          <w:t xml:space="preserve">Comprehensive Plan Impacts:  </w:t>
        </w:r>
      </w:hyperlink>
    </w:p>
    <w:p w:rsidR="00D31A08" w:rsidRPr="00D31A08" w:rsidRDefault="00D31A08" w:rsidP="00D31A08">
      <w:pPr>
        <w:rPr>
          <w:rFonts w:ascii="Century Gothic" w:hAnsi="Century Gothic"/>
        </w:rPr>
      </w:pPr>
      <w:r w:rsidRPr="00D31A08">
        <w:rPr>
          <w:rFonts w:ascii="Century Gothic" w:hAnsi="Century Gothic"/>
        </w:rPr>
        <w:t xml:space="preserve">Primary Impact: </w:t>
      </w:r>
      <w:sdt>
        <w:sdtPr>
          <w:rPr>
            <w:rFonts w:ascii="Century Gothic" w:hAnsi="Century Gothic"/>
          </w:rPr>
          <w:alias w:val="First Comp Plan Impact Area"/>
          <w:tag w:val="First Comp Plan Impact Area"/>
          <w:id w:val="1506005484"/>
          <w:placeholder>
            <w:docPart w:val="562A214464214794A9384886AFE6D53F"/>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sdtContent>
          <w:r>
            <w:rPr>
              <w:rFonts w:ascii="Century Gothic" w:hAnsi="Century Gothic"/>
            </w:rPr>
            <w:t>Livable &amp; Sustainable Communities</w:t>
          </w:r>
        </w:sdtContent>
      </w:sdt>
      <w:r w:rsidRPr="00D31A08">
        <w:rPr>
          <w:rFonts w:ascii="Century Gothic" w:hAnsi="Century Gothic"/>
        </w:rPr>
        <w:t xml:space="preserve">, Secondary Impact: </w:t>
      </w:r>
      <w:sdt>
        <w:sdtPr>
          <w:rPr>
            <w:rFonts w:ascii="Century Gothic" w:hAnsi="Century Gothic"/>
          </w:rPr>
          <w:alias w:val="Second Comp Plan Impact Area"/>
          <w:tag w:val="Second Comp Plan Impact Area"/>
          <w:id w:val="-832752857"/>
          <w:placeholder>
            <w:docPart w:val="09E56E6A9B8F4FC7B553BE56CF17F9BD"/>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Pr>
              <w:rFonts w:ascii="Century Gothic" w:hAnsi="Century Gothic"/>
            </w:rPr>
            <w:t>Infrastructure</w:t>
          </w:r>
        </w:sdtContent>
      </w:sdt>
      <w:r w:rsidRPr="00D31A08">
        <w:rPr>
          <w:rFonts w:ascii="Century Gothic" w:hAnsi="Century Gothic"/>
        </w:rPr>
        <w:t xml:space="preserve">, Tertiary Impact: </w:t>
      </w:r>
      <w:sdt>
        <w:sdtPr>
          <w:rPr>
            <w:rFonts w:ascii="Century Gothic" w:hAnsi="Century Gothic"/>
          </w:rPr>
          <w:alias w:val="Third Comp Plan Impact Area"/>
          <w:tag w:val="Third Comp Plan Impact Area"/>
          <w:id w:val="684095141"/>
          <w:placeholder>
            <w:docPart w:val="57BBBC0E877449769C8C52AEB0766CE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sdtContent>
          <w:r>
            <w:rPr>
              <w:rFonts w:ascii="Century Gothic" w:hAnsi="Century Gothic"/>
            </w:rPr>
            <w:t>Mobility, Connectivity, and Accessibility</w:t>
          </w:r>
        </w:sdtContent>
      </w:sdt>
    </w:p>
    <w:p w:rsidR="00D31A08" w:rsidRDefault="00D31A08" w:rsidP="000E3DAB">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B53AC" w:rsidP="007B53AC">
                <w:pPr>
                  <w:rPr>
                    <w:rFonts w:ascii="Century Gothic" w:hAnsi="Century Gothic"/>
                  </w:rPr>
                </w:pPr>
                <w:r>
                  <w:rPr>
                    <w:rFonts w:ascii="Century Gothic" w:hAnsi="Century Gothic"/>
                  </w:rPr>
                  <w:t>09/18/2006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B53AC" w:rsidP="007B53AC">
                <w:pPr>
                  <w:rPr>
                    <w:rFonts w:ascii="Century Gothic" w:hAnsi="Century Gothic"/>
                  </w:rPr>
                </w:pPr>
                <w:r>
                  <w:rPr>
                    <w:rFonts w:ascii="Century Gothic" w:hAnsi="Century Gothic"/>
                  </w:rPr>
                  <w:t xml:space="preserve">Approved </w:t>
                </w:r>
                <w:r w:rsidRPr="007B53AC">
                  <w:rPr>
                    <w:rFonts w:ascii="Century Gothic" w:hAnsi="Century Gothic"/>
                    <w:i/>
                  </w:rPr>
                  <w:t>The Villas at Old Hawthorne PUD</w:t>
                </w:r>
                <w:r>
                  <w:rPr>
                    <w:rFonts w:ascii="Century Gothic" w:hAnsi="Century Gothic"/>
                    <w:i/>
                  </w:rPr>
                  <w:t xml:space="preserve"> plan (Ord. #19215)</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0A5DE0" w:rsidRDefault="000A5DE0" w:rsidP="000A5DE0">
          <w:pPr>
            <w:tabs>
              <w:tab w:val="left" w:pos="4530"/>
            </w:tabs>
            <w:rPr>
              <w:rFonts w:ascii="Century Gothic" w:hAnsi="Century Gothic"/>
            </w:rPr>
          </w:pPr>
        </w:p>
        <w:p w:rsidR="00C379A1" w:rsidRPr="007B53AC" w:rsidRDefault="000A5DE0" w:rsidP="00C379A1">
          <w:pPr>
            <w:tabs>
              <w:tab w:val="left" w:pos="4530"/>
            </w:tabs>
            <w:rPr>
              <w:rFonts w:ascii="Century Gothic" w:hAnsi="Century Gothic"/>
              <w:lang w:val="en"/>
            </w:rPr>
          </w:pPr>
          <w:r w:rsidRPr="000A5DE0">
            <w:rPr>
              <w:rFonts w:ascii="Century Gothic" w:hAnsi="Century Gothic"/>
              <w:lang w:val="en"/>
            </w:rPr>
            <w:t xml:space="preserve">Approval of the major amendment for </w:t>
          </w:r>
          <w:r w:rsidRPr="000A5DE0">
            <w:rPr>
              <w:rFonts w:ascii="Century Gothic" w:hAnsi="Century Gothic"/>
              <w:i/>
              <w:lang w:val="en"/>
            </w:rPr>
            <w:t>The Villas at Old Hawthorne PD</w:t>
          </w:r>
          <w:r w:rsidRPr="000A5DE0">
            <w:rPr>
              <w:rFonts w:ascii="Century Gothic" w:hAnsi="Century Gothic"/>
              <w:lang w:val="en"/>
            </w:rPr>
            <w:t xml:space="preserve"> </w:t>
          </w:r>
          <w:r w:rsidRPr="000A5DE0">
            <w:rPr>
              <w:rFonts w:ascii="Century Gothic" w:hAnsi="Century Gothic"/>
              <w:i/>
              <w:lang w:val="en"/>
            </w:rPr>
            <w:t>plan</w:t>
          </w:r>
          <w:r w:rsidRPr="000A5DE0">
            <w:rPr>
              <w:rFonts w:ascii="Century Gothic" w:hAnsi="Century Gothic"/>
              <w:lang w:val="en"/>
            </w:rPr>
            <w:t xml:space="preserve">. </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CF" w:rsidRDefault="008337CF" w:rsidP="004A4C2D">
      <w:r>
        <w:separator/>
      </w:r>
    </w:p>
  </w:endnote>
  <w:endnote w:type="continuationSeparator" w:id="0">
    <w:p w:rsidR="008337CF" w:rsidRDefault="008337C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CF" w:rsidRDefault="008337CF" w:rsidP="004A4C2D">
      <w:r>
        <w:separator/>
      </w:r>
    </w:p>
  </w:footnote>
  <w:footnote w:type="continuationSeparator" w:id="0">
    <w:p w:rsidR="008337CF" w:rsidRDefault="008337C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5DE0"/>
    <w:rsid w:val="000D39DA"/>
    <w:rsid w:val="000E2AA6"/>
    <w:rsid w:val="000E3DAB"/>
    <w:rsid w:val="0011191B"/>
    <w:rsid w:val="00160464"/>
    <w:rsid w:val="00167B4F"/>
    <w:rsid w:val="001E142A"/>
    <w:rsid w:val="001F1288"/>
    <w:rsid w:val="00255AC2"/>
    <w:rsid w:val="002773F7"/>
    <w:rsid w:val="002933B9"/>
    <w:rsid w:val="002B42F8"/>
    <w:rsid w:val="002C289E"/>
    <w:rsid w:val="002C5AA8"/>
    <w:rsid w:val="002D380E"/>
    <w:rsid w:val="002F08A4"/>
    <w:rsid w:val="002F3061"/>
    <w:rsid w:val="00340994"/>
    <w:rsid w:val="00344C59"/>
    <w:rsid w:val="00381A9D"/>
    <w:rsid w:val="003C33FA"/>
    <w:rsid w:val="003C57DC"/>
    <w:rsid w:val="0041404F"/>
    <w:rsid w:val="00420CE9"/>
    <w:rsid w:val="00472F27"/>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A6FF1"/>
    <w:rsid w:val="006D6E9E"/>
    <w:rsid w:val="006E0362"/>
    <w:rsid w:val="006F185A"/>
    <w:rsid w:val="00737177"/>
    <w:rsid w:val="00791D82"/>
    <w:rsid w:val="007A2127"/>
    <w:rsid w:val="007B53AC"/>
    <w:rsid w:val="008078EB"/>
    <w:rsid w:val="008337CF"/>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B6ABB"/>
    <w:rsid w:val="00CE4274"/>
    <w:rsid w:val="00D046B2"/>
    <w:rsid w:val="00D102C6"/>
    <w:rsid w:val="00D31A08"/>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F657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1CCB98-5F4C-4EC4-B028-A620298F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821">
      <w:bodyDiv w:val="1"/>
      <w:marLeft w:val="0"/>
      <w:marRight w:val="0"/>
      <w:marTop w:val="0"/>
      <w:marBottom w:val="0"/>
      <w:divBdr>
        <w:top w:val="none" w:sz="0" w:space="0" w:color="auto"/>
        <w:left w:val="none" w:sz="0" w:space="0" w:color="auto"/>
        <w:bottom w:val="none" w:sz="0" w:space="0" w:color="auto"/>
        <w:right w:val="none" w:sz="0" w:space="0" w:color="auto"/>
      </w:divBdr>
    </w:div>
    <w:div w:id="811216209">
      <w:bodyDiv w:val="1"/>
      <w:marLeft w:val="0"/>
      <w:marRight w:val="0"/>
      <w:marTop w:val="0"/>
      <w:marBottom w:val="0"/>
      <w:divBdr>
        <w:top w:val="none" w:sz="0" w:space="0" w:color="auto"/>
        <w:left w:val="none" w:sz="0" w:space="0" w:color="auto"/>
        <w:bottom w:val="none" w:sz="0" w:space="0" w:color="auto"/>
        <w:right w:val="none" w:sz="0" w:space="0" w:color="auto"/>
      </w:divBdr>
    </w:div>
    <w:div w:id="845171803">
      <w:bodyDiv w:val="1"/>
      <w:marLeft w:val="0"/>
      <w:marRight w:val="0"/>
      <w:marTop w:val="0"/>
      <w:marBottom w:val="0"/>
      <w:divBdr>
        <w:top w:val="none" w:sz="0" w:space="0" w:color="auto"/>
        <w:left w:val="none" w:sz="0" w:space="0" w:color="auto"/>
        <w:bottom w:val="none" w:sz="0" w:space="0" w:color="auto"/>
        <w:right w:val="none" w:sz="0" w:space="0" w:color="auto"/>
      </w:divBdr>
    </w:div>
    <w:div w:id="954362549">
      <w:bodyDiv w:val="1"/>
      <w:marLeft w:val="0"/>
      <w:marRight w:val="0"/>
      <w:marTop w:val="0"/>
      <w:marBottom w:val="0"/>
      <w:divBdr>
        <w:top w:val="none" w:sz="0" w:space="0" w:color="auto"/>
        <w:left w:val="none" w:sz="0" w:space="0" w:color="auto"/>
        <w:bottom w:val="none" w:sz="0" w:space="0" w:color="auto"/>
        <w:right w:val="none" w:sz="0" w:space="0" w:color="auto"/>
      </w:divBdr>
    </w:div>
    <w:div w:id="1488746846">
      <w:bodyDiv w:val="1"/>
      <w:marLeft w:val="0"/>
      <w:marRight w:val="0"/>
      <w:marTop w:val="0"/>
      <w:marBottom w:val="0"/>
      <w:divBdr>
        <w:top w:val="none" w:sz="0" w:space="0" w:color="auto"/>
        <w:left w:val="none" w:sz="0" w:space="0" w:color="auto"/>
        <w:bottom w:val="none" w:sz="0" w:space="0" w:color="auto"/>
        <w:right w:val="none" w:sz="0" w:space="0" w:color="auto"/>
      </w:divBdr>
    </w:div>
    <w:div w:id="1766609922">
      <w:bodyDiv w:val="1"/>
      <w:marLeft w:val="0"/>
      <w:marRight w:val="0"/>
      <w:marTop w:val="0"/>
      <w:marBottom w:val="0"/>
      <w:divBdr>
        <w:top w:val="none" w:sz="0" w:space="0" w:color="auto"/>
        <w:left w:val="none" w:sz="0" w:space="0" w:color="auto"/>
        <w:bottom w:val="none" w:sz="0" w:space="0" w:color="auto"/>
        <w:right w:val="none" w:sz="0" w:space="0" w:color="auto"/>
      </w:divBdr>
    </w:div>
    <w:div w:id="1989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562A214464214794A9384886AFE6D53F"/>
        <w:category>
          <w:name w:val="General"/>
          <w:gallery w:val="placeholder"/>
        </w:category>
        <w:types>
          <w:type w:val="bbPlcHdr"/>
        </w:types>
        <w:behaviors>
          <w:behavior w:val="content"/>
        </w:behaviors>
        <w:guid w:val="{B50EA71C-7B9D-4AAE-AD83-149FD225B1A4}"/>
      </w:docPartPr>
      <w:docPartBody>
        <w:p w:rsidR="00737F27" w:rsidRDefault="00851DC1" w:rsidP="00851DC1">
          <w:pPr>
            <w:pStyle w:val="562A214464214794A9384886AFE6D53F"/>
          </w:pPr>
          <w:r>
            <w:rPr>
              <w:rFonts w:ascii="Century Gothic" w:hAnsi="Century Gothic"/>
              <w:color w:val="808080" w:themeColor="background1" w:themeShade="80"/>
            </w:rPr>
            <w:t>Primary</w:t>
          </w:r>
        </w:p>
      </w:docPartBody>
    </w:docPart>
    <w:docPart>
      <w:docPartPr>
        <w:name w:val="09E56E6A9B8F4FC7B553BE56CF17F9BD"/>
        <w:category>
          <w:name w:val="General"/>
          <w:gallery w:val="placeholder"/>
        </w:category>
        <w:types>
          <w:type w:val="bbPlcHdr"/>
        </w:types>
        <w:behaviors>
          <w:behavior w:val="content"/>
        </w:behaviors>
        <w:guid w:val="{657D841B-B021-4837-906C-05FDE48F6EA4}"/>
      </w:docPartPr>
      <w:docPartBody>
        <w:p w:rsidR="00737F27" w:rsidRDefault="00851DC1" w:rsidP="00851DC1">
          <w:pPr>
            <w:pStyle w:val="09E56E6A9B8F4FC7B553BE56CF17F9BD"/>
          </w:pPr>
          <w:r>
            <w:rPr>
              <w:rStyle w:val="PlaceholderText"/>
              <w:rFonts w:ascii="Century Gothic" w:hAnsi="Century Gothic"/>
            </w:rPr>
            <w:t>Secondary</w:t>
          </w:r>
        </w:p>
      </w:docPartBody>
    </w:docPart>
    <w:docPart>
      <w:docPartPr>
        <w:name w:val="57BBBC0E877449769C8C52AEB0766CE7"/>
        <w:category>
          <w:name w:val="General"/>
          <w:gallery w:val="placeholder"/>
        </w:category>
        <w:types>
          <w:type w:val="bbPlcHdr"/>
        </w:types>
        <w:behaviors>
          <w:behavior w:val="content"/>
        </w:behaviors>
        <w:guid w:val="{46F1A860-87AD-4F1D-986B-5E7B04C1800B}"/>
      </w:docPartPr>
      <w:docPartBody>
        <w:p w:rsidR="00737F27" w:rsidRDefault="00851DC1" w:rsidP="00851DC1">
          <w:pPr>
            <w:pStyle w:val="57BBBC0E877449769C8C52AEB0766CE7"/>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0729B"/>
    <w:rsid w:val="00034E6C"/>
    <w:rsid w:val="0013015F"/>
    <w:rsid w:val="00133C0D"/>
    <w:rsid w:val="001E1DFB"/>
    <w:rsid w:val="0024399D"/>
    <w:rsid w:val="002E6193"/>
    <w:rsid w:val="00331D1F"/>
    <w:rsid w:val="00350B02"/>
    <w:rsid w:val="003C79DA"/>
    <w:rsid w:val="00412C43"/>
    <w:rsid w:val="0043257E"/>
    <w:rsid w:val="004C0099"/>
    <w:rsid w:val="004F35AE"/>
    <w:rsid w:val="005F57FE"/>
    <w:rsid w:val="006259E9"/>
    <w:rsid w:val="006353D1"/>
    <w:rsid w:val="006702CB"/>
    <w:rsid w:val="006C0A97"/>
    <w:rsid w:val="006E696C"/>
    <w:rsid w:val="00737F27"/>
    <w:rsid w:val="00773276"/>
    <w:rsid w:val="00851DC1"/>
    <w:rsid w:val="0087266D"/>
    <w:rsid w:val="008F5C85"/>
    <w:rsid w:val="009B3AA1"/>
    <w:rsid w:val="00A27769"/>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51DC1"/>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DDE6C9EE9B0A4B2390271FDD952E6A2C">
    <w:name w:val="DDE6C9EE9B0A4B2390271FDD952E6A2C"/>
    <w:rsid w:val="0000729B"/>
  </w:style>
  <w:style w:type="paragraph" w:customStyle="1" w:styleId="562A214464214794A9384886AFE6D53F">
    <w:name w:val="562A214464214794A9384886AFE6D53F"/>
    <w:rsid w:val="00851DC1"/>
  </w:style>
  <w:style w:type="paragraph" w:customStyle="1" w:styleId="09E56E6A9B8F4FC7B553BE56CF17F9BD">
    <w:name w:val="09E56E6A9B8F4FC7B553BE56CF17F9BD"/>
    <w:rsid w:val="00851DC1"/>
  </w:style>
  <w:style w:type="paragraph" w:customStyle="1" w:styleId="57BBBC0E877449769C8C52AEB0766CE7">
    <w:name w:val="57BBBC0E877449769C8C52AEB0766CE7"/>
    <w:rsid w:val="00851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17D8-A63E-43CE-A738-E0CA5B6B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2013-11-01T14:38:00Z</cp:lastPrinted>
  <dcterms:created xsi:type="dcterms:W3CDTF">2018-01-03T17:51:00Z</dcterms:created>
  <dcterms:modified xsi:type="dcterms:W3CDTF">2018-01-08T17:28:00Z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