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470CA">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523CC2">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470CA">
            <w:rPr>
              <w:rStyle w:val="Style3"/>
              <w:rFonts w:eastAsiaTheme="majorEastAsia"/>
            </w:rPr>
            <w:t>Integrated Electric Resources &amp; Master Planning</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2470CA" w:rsidRDefault="002470CA">
          <w:pPr>
            <w:rPr>
              <w:rFonts w:ascii="Century Gothic" w:hAnsi="Century Gothic"/>
            </w:rPr>
          </w:pPr>
          <w:r w:rsidRPr="002470CA">
            <w:rPr>
              <w:rFonts w:ascii="Century Gothic" w:hAnsi="Century Gothic"/>
            </w:rPr>
            <w:t xml:space="preserve">Columbia’s Electric Utility is scheduled to conduct another Integrated Resource Plan in 2018. Based on revised </w:t>
          </w:r>
          <w:r>
            <w:rPr>
              <w:rFonts w:ascii="Century Gothic" w:hAnsi="Century Gothic"/>
            </w:rPr>
            <w:t xml:space="preserve">electric load </w:t>
          </w:r>
          <w:r w:rsidRPr="002470CA">
            <w:rPr>
              <w:rFonts w:ascii="Century Gothic" w:hAnsi="Century Gothic"/>
            </w:rPr>
            <w:t>forecasts, staff is recommending that a new electric transmission and distribution system planning process be incorporated with the Integrated Electric Resource Plan. This proposed new planning process will replace all previous planning efforts regarding serving anticipated loads and meeting federal transmission planning requirements.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470CA" w:rsidRPr="002470CA" w:rsidRDefault="002470CA" w:rsidP="00750A4D">
          <w:pPr>
            <w:spacing w:after="240"/>
            <w:rPr>
              <w:rFonts w:ascii="Century Gothic" w:hAnsi="Century Gothic"/>
            </w:rPr>
          </w:pPr>
          <w:r w:rsidRPr="002470CA">
            <w:rPr>
              <w:rFonts w:ascii="Century Gothic" w:hAnsi="Century Gothic"/>
            </w:rPr>
            <w:t xml:space="preserve">Columbia’s Electric Utility is scheduled to conduct another Integrated Resource Plan in 2018. An Integrated Electric Resource Plan is a plan to meet forecasted annual electric system peak and energy demand plus some established reserve margin through a combination of supply-side and demand–side resources over a specified time period. </w:t>
          </w:r>
        </w:p>
        <w:p w:rsidR="002470CA" w:rsidRPr="002470CA" w:rsidRDefault="002470CA" w:rsidP="00750A4D">
          <w:pPr>
            <w:spacing w:after="240"/>
            <w:rPr>
              <w:rFonts w:ascii="Century Gothic" w:hAnsi="Century Gothic"/>
            </w:rPr>
          </w:pPr>
          <w:r w:rsidRPr="002470CA">
            <w:rPr>
              <w:rFonts w:ascii="Century Gothic" w:hAnsi="Century Gothic"/>
            </w:rPr>
            <w:t xml:space="preserve">Electric System Master Planning is </w:t>
          </w:r>
          <w:r w:rsidR="00034CA3">
            <w:rPr>
              <w:rFonts w:ascii="Century Gothic" w:hAnsi="Century Gothic"/>
            </w:rPr>
            <w:t xml:space="preserve">also </w:t>
          </w:r>
          <w:r w:rsidRPr="002470CA">
            <w:rPr>
              <w:rFonts w:ascii="Century Gothic" w:hAnsi="Century Gothic"/>
            </w:rPr>
            <w:t xml:space="preserve">regularly conducted by electric utilities and other load serving entities. Electric System Master Plans provide general guidance </w:t>
          </w:r>
          <w:r w:rsidR="00106654">
            <w:rPr>
              <w:rFonts w:ascii="Century Gothic" w:hAnsi="Century Gothic"/>
            </w:rPr>
            <w:t>for</w:t>
          </w:r>
          <w:r w:rsidRPr="002470CA">
            <w:rPr>
              <w:rFonts w:ascii="Century Gothic" w:hAnsi="Century Gothic"/>
            </w:rPr>
            <w:t xml:space="preserve"> the electric system improvements needed to maintain reliability and serve anticipated loads.</w:t>
          </w:r>
        </w:p>
        <w:p w:rsidR="002470CA" w:rsidRDefault="002470CA" w:rsidP="00750A4D">
          <w:pPr>
            <w:spacing w:after="240"/>
            <w:rPr>
              <w:rFonts w:ascii="Century Gothic" w:hAnsi="Century Gothic"/>
            </w:rPr>
          </w:pPr>
          <w:r w:rsidRPr="002470CA">
            <w:rPr>
              <w:rFonts w:ascii="Century Gothic" w:hAnsi="Century Gothic"/>
            </w:rPr>
            <w:t>Included with this</w:t>
          </w:r>
          <w:r w:rsidR="00034CA3">
            <w:rPr>
              <w:rFonts w:ascii="Century Gothic" w:hAnsi="Century Gothic"/>
            </w:rPr>
            <w:t xml:space="preserve"> memo</w:t>
          </w:r>
          <w:r w:rsidRPr="002470CA">
            <w:rPr>
              <w:rFonts w:ascii="Century Gothic" w:hAnsi="Century Gothic"/>
            </w:rPr>
            <w:t xml:space="preserve"> are a couple of graphs and a chart showing the results of past electric system peak and energy demand forecasts. </w:t>
          </w:r>
          <w:r w:rsidR="00AC12A0" w:rsidRPr="00E455B0">
            <w:rPr>
              <w:rFonts w:ascii="Century Gothic" w:hAnsi="Century Gothic"/>
            </w:rPr>
            <w:t xml:space="preserve">There are many </w:t>
          </w:r>
          <w:r w:rsidR="00AC12A0" w:rsidRPr="00E455B0">
            <w:rPr>
              <w:rFonts w:ascii="Century Gothic" w:hAnsi="Century Gothic"/>
              <w:color w:val="000000"/>
              <w:shd w:val="clear" w:color="auto" w:fill="FFFFFF"/>
            </w:rPr>
            <w:t>variables</w:t>
          </w:r>
          <w:r w:rsidR="00E455B0">
            <w:rPr>
              <w:rFonts w:ascii="Century Gothic" w:hAnsi="Century Gothic"/>
              <w:color w:val="000000"/>
              <w:shd w:val="clear" w:color="auto" w:fill="FFFFFF"/>
            </w:rPr>
            <w:t xml:space="preserve"> that impact</w:t>
          </w:r>
          <w:r w:rsidR="00AC12A0" w:rsidRPr="00E455B0">
            <w:rPr>
              <w:rFonts w:ascii="Century Gothic" w:hAnsi="Century Gothic"/>
              <w:color w:val="000000"/>
              <w:shd w:val="clear" w:color="auto" w:fill="FFFFFF"/>
            </w:rPr>
            <w:t xml:space="preserve"> future forecasts.</w:t>
          </w:r>
          <w:r w:rsidR="00AC12A0" w:rsidRPr="00E455B0">
            <w:rPr>
              <w:rFonts w:ascii="Century Gothic" w:hAnsi="Century Gothic"/>
            </w:rPr>
            <w:t xml:space="preserve"> </w:t>
          </w:r>
          <w:r w:rsidRPr="00E455B0">
            <w:rPr>
              <w:rFonts w:ascii="Century Gothic" w:hAnsi="Century Gothic"/>
            </w:rPr>
            <w:t>Since</w:t>
          </w:r>
          <w:r w:rsidRPr="002470CA">
            <w:rPr>
              <w:rFonts w:ascii="Century Gothic" w:hAnsi="Century Gothic"/>
            </w:rPr>
            <w:t xml:space="preserve"> the load forecasts were developed for the 2008 Integrated Resource Plan, more recent peak and energy demand forecasts have been developed. The more recent forecasts show a reduction in the </w:t>
          </w:r>
          <w:r w:rsidR="00034CA3">
            <w:rPr>
              <w:rFonts w:ascii="Century Gothic" w:hAnsi="Century Gothic"/>
            </w:rPr>
            <w:t xml:space="preserve">forecasted </w:t>
          </w:r>
          <w:r w:rsidRPr="002470CA">
            <w:rPr>
              <w:rFonts w:ascii="Century Gothic" w:hAnsi="Century Gothic"/>
            </w:rPr>
            <w:t>rate of peak and energy demand increase</w:t>
          </w:r>
          <w:r w:rsidR="00034CA3">
            <w:rPr>
              <w:rFonts w:ascii="Century Gothic" w:hAnsi="Century Gothic"/>
            </w:rPr>
            <w:t>s</w:t>
          </w:r>
          <w:r w:rsidRPr="002470CA">
            <w:rPr>
              <w:rFonts w:ascii="Century Gothic" w:hAnsi="Century Gothic"/>
            </w:rPr>
            <w:t>.</w:t>
          </w:r>
        </w:p>
        <w:p w:rsidR="002470CA" w:rsidRPr="002470CA" w:rsidRDefault="002470CA" w:rsidP="00750A4D">
          <w:pPr>
            <w:spacing w:after="240"/>
            <w:rPr>
              <w:rFonts w:ascii="Century Gothic" w:hAnsi="Century Gothic"/>
            </w:rPr>
          </w:pPr>
          <w:r w:rsidRPr="002470CA">
            <w:rPr>
              <w:rFonts w:ascii="Century Gothic" w:hAnsi="Century Gothic"/>
            </w:rPr>
            <w:t>Based on these revised forecasts, staff is recommending that a new electric transmission and distribution system planning process be incorporated with the Integrated Electric Resource Plan. This proposed new planning process will replace all previous planning efforts regarding serving anticipated loads and meeting federal transmission planning requirements.</w:t>
          </w:r>
        </w:p>
        <w:p w:rsidR="002470CA" w:rsidRPr="002470CA" w:rsidRDefault="002470CA" w:rsidP="00750A4D">
          <w:pPr>
            <w:spacing w:after="240"/>
            <w:rPr>
              <w:rFonts w:ascii="Century Gothic" w:hAnsi="Century Gothic"/>
            </w:rPr>
          </w:pPr>
          <w:r w:rsidRPr="002470CA">
            <w:rPr>
              <w:rFonts w:ascii="Century Gothic" w:hAnsi="Century Gothic"/>
            </w:rPr>
            <w:t>At this time staff is proposing an Integrated Electric Resources &amp; Master Plan to represent this combined planning effort.</w:t>
          </w:r>
        </w:p>
        <w:p w:rsidR="002470CA" w:rsidRPr="002470CA" w:rsidRDefault="002470CA" w:rsidP="00750A4D">
          <w:pPr>
            <w:spacing w:after="240"/>
            <w:rPr>
              <w:rFonts w:ascii="Century Gothic" w:hAnsi="Century Gothic"/>
            </w:rPr>
          </w:pPr>
          <w:r w:rsidRPr="002470CA">
            <w:rPr>
              <w:rFonts w:ascii="Century Gothic" w:hAnsi="Century Gothic"/>
            </w:rPr>
            <w:t>The purpose of this Integrated Electric Resources &amp; Master Plan for Columbia’s electric utility is to provide general guidance in planning to meet forecasted annual peak</w:t>
          </w:r>
          <w:r w:rsidR="00034CA3">
            <w:rPr>
              <w:rFonts w:ascii="Century Gothic" w:hAnsi="Century Gothic"/>
            </w:rPr>
            <w:t xml:space="preserve"> and</w:t>
          </w:r>
          <w:r w:rsidRPr="002470CA">
            <w:rPr>
              <w:rFonts w:ascii="Century Gothic" w:hAnsi="Century Gothic"/>
            </w:rPr>
            <w:t xml:space="preserve"> energy demand, maintain reliability, and serve anticipated loads through a combination of supply-side, demand–side, distribution and transmission resources over a specified time period.</w:t>
          </w:r>
        </w:p>
        <w:p w:rsidR="002470CA" w:rsidRPr="002470CA" w:rsidRDefault="002470CA" w:rsidP="00750A4D">
          <w:pPr>
            <w:pStyle w:val="Default"/>
            <w:spacing w:after="240"/>
            <w:rPr>
              <w:rFonts w:ascii="Century Gothic" w:hAnsi="Century Gothic" w:cs="Times New Roman"/>
            </w:rPr>
          </w:pPr>
          <w:r w:rsidRPr="002470CA">
            <w:rPr>
              <w:rFonts w:ascii="Century Gothic" w:hAnsi="Century Gothic" w:cs="Times New Roman"/>
            </w:rPr>
            <w:lastRenderedPageBreak/>
            <w:t>The Integrated Electric Resources &amp; Master Plan will review major activities, system events, system improvements that occurred during past planning cycles, the existing electric system and proposed electric system projects related to generation, transmission, substation and distribution improvements.</w:t>
          </w:r>
        </w:p>
        <w:p w:rsidR="002470CA" w:rsidRPr="002470CA" w:rsidRDefault="002470CA" w:rsidP="00750A4D">
          <w:pPr>
            <w:spacing w:after="240"/>
            <w:rPr>
              <w:rFonts w:ascii="Century Gothic" w:hAnsi="Century Gothic"/>
            </w:rPr>
          </w:pPr>
          <w:r w:rsidRPr="002470CA">
            <w:rPr>
              <w:rFonts w:ascii="Century Gothic" w:hAnsi="Century Gothic"/>
            </w:rPr>
            <w:t xml:space="preserve">The primary goals of the </w:t>
          </w:r>
          <w:r w:rsidR="00034CA3" w:rsidRPr="002470CA">
            <w:rPr>
              <w:rFonts w:ascii="Century Gothic" w:hAnsi="Century Gothic"/>
            </w:rPr>
            <w:t>Integrated Electric Resources &amp; Master Plan</w:t>
          </w:r>
          <w:r w:rsidRPr="002470CA">
            <w:rPr>
              <w:rFonts w:ascii="Century Gothic" w:hAnsi="Century Gothic"/>
            </w:rPr>
            <w:t xml:space="preserve"> are as follows:</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Ensure public participation throughout the process</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Forecast capital needs based on:</w:t>
          </w:r>
        </w:p>
        <w:p w:rsidR="002470CA" w:rsidRPr="002470CA" w:rsidRDefault="002470CA" w:rsidP="00750A4D">
          <w:pPr>
            <w:pStyle w:val="ListParagraph"/>
            <w:numPr>
              <w:ilvl w:val="1"/>
              <w:numId w:val="1"/>
            </w:numPr>
            <w:spacing w:after="240" w:line="259" w:lineRule="auto"/>
            <w:rPr>
              <w:rFonts w:ascii="Century Gothic" w:hAnsi="Century Gothic"/>
            </w:rPr>
          </w:pPr>
          <w:r w:rsidRPr="002470CA">
            <w:rPr>
              <w:rFonts w:ascii="Century Gothic" w:hAnsi="Century Gothic"/>
            </w:rPr>
            <w:t>Capacity requirements</w:t>
          </w:r>
        </w:p>
        <w:p w:rsidR="002470CA" w:rsidRPr="002470CA" w:rsidRDefault="002470CA" w:rsidP="00750A4D">
          <w:pPr>
            <w:pStyle w:val="ListParagraph"/>
            <w:numPr>
              <w:ilvl w:val="1"/>
              <w:numId w:val="1"/>
            </w:numPr>
            <w:spacing w:after="240" w:line="259" w:lineRule="auto"/>
            <w:rPr>
              <w:rFonts w:ascii="Century Gothic" w:hAnsi="Century Gothic"/>
            </w:rPr>
          </w:pPr>
          <w:r w:rsidRPr="002470CA">
            <w:rPr>
              <w:rFonts w:ascii="Century Gothic" w:hAnsi="Century Gothic"/>
            </w:rPr>
            <w:t>System reliability</w:t>
          </w:r>
        </w:p>
        <w:p w:rsidR="002470CA" w:rsidRPr="002470CA" w:rsidRDefault="002470CA" w:rsidP="00750A4D">
          <w:pPr>
            <w:pStyle w:val="ListParagraph"/>
            <w:numPr>
              <w:ilvl w:val="1"/>
              <w:numId w:val="1"/>
            </w:numPr>
            <w:spacing w:after="240" w:line="259" w:lineRule="auto"/>
            <w:rPr>
              <w:rFonts w:ascii="Century Gothic" w:hAnsi="Century Gothic"/>
            </w:rPr>
          </w:pPr>
          <w:r w:rsidRPr="002470CA">
            <w:rPr>
              <w:rFonts w:ascii="Century Gothic" w:hAnsi="Century Gothic"/>
            </w:rPr>
            <w:t>Economic viability</w:t>
          </w:r>
        </w:p>
        <w:p w:rsidR="002470CA" w:rsidRPr="002470CA" w:rsidRDefault="002470CA" w:rsidP="00750A4D">
          <w:pPr>
            <w:pStyle w:val="ListParagraph"/>
            <w:numPr>
              <w:ilvl w:val="1"/>
              <w:numId w:val="1"/>
            </w:numPr>
            <w:spacing w:after="240" w:line="259" w:lineRule="auto"/>
            <w:rPr>
              <w:rFonts w:ascii="Century Gothic" w:hAnsi="Century Gothic"/>
            </w:rPr>
          </w:pPr>
          <w:r w:rsidRPr="002470CA">
            <w:rPr>
              <w:rFonts w:ascii="Century Gothic" w:hAnsi="Century Gothic"/>
            </w:rPr>
            <w:t>Customer satisfaction</w:t>
          </w:r>
        </w:p>
        <w:p w:rsidR="002470CA" w:rsidRPr="002470CA" w:rsidRDefault="002470CA" w:rsidP="00750A4D">
          <w:pPr>
            <w:pStyle w:val="ListParagraph"/>
            <w:numPr>
              <w:ilvl w:val="1"/>
              <w:numId w:val="1"/>
            </w:numPr>
            <w:spacing w:after="240" w:line="259" w:lineRule="auto"/>
            <w:rPr>
              <w:rFonts w:ascii="Century Gothic" w:hAnsi="Century Gothic"/>
            </w:rPr>
          </w:pPr>
          <w:r w:rsidRPr="002470CA">
            <w:rPr>
              <w:rFonts w:ascii="Century Gothic" w:hAnsi="Century Gothic"/>
            </w:rPr>
            <w:t>Stakeholder needs.</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 xml:space="preserve">Plan for </w:t>
          </w:r>
          <w:r w:rsidR="00106654">
            <w:rPr>
              <w:rFonts w:ascii="Century Gothic" w:hAnsi="Century Gothic"/>
            </w:rPr>
            <w:t xml:space="preserve">continued </w:t>
          </w:r>
          <w:r w:rsidRPr="002470CA">
            <w:rPr>
              <w:rFonts w:ascii="Century Gothic" w:hAnsi="Century Gothic"/>
            </w:rPr>
            <w:t>compliance with established Electric System Planning criteria.</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Develop projects and capital programs which implement strategic goals and initiatives.</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Identify specific generation, transmission, substation, and distribution system improvement projects, budgets and schedules.</w:t>
          </w:r>
        </w:p>
        <w:p w:rsidR="002470CA" w:rsidRPr="002470CA" w:rsidRDefault="002470CA" w:rsidP="00750A4D">
          <w:pPr>
            <w:pStyle w:val="ListParagraph"/>
            <w:numPr>
              <w:ilvl w:val="0"/>
              <w:numId w:val="1"/>
            </w:numPr>
            <w:spacing w:after="240" w:line="259" w:lineRule="auto"/>
            <w:rPr>
              <w:rFonts w:ascii="Century Gothic" w:hAnsi="Century Gothic"/>
            </w:rPr>
          </w:pPr>
          <w:r w:rsidRPr="002470CA">
            <w:rPr>
              <w:rFonts w:ascii="Century Gothic" w:hAnsi="Century Gothic"/>
            </w:rPr>
            <w:t>Identify long range property and right-of-way acquisition requirements.</w:t>
          </w:r>
        </w:p>
        <w:p w:rsidR="00A21BBD" w:rsidRDefault="00A21BBD" w:rsidP="00750A4D">
          <w:pPr>
            <w:spacing w:after="240"/>
            <w:rPr>
              <w:rFonts w:ascii="Century Gothic" w:hAnsi="Century Gothic"/>
            </w:rPr>
          </w:pPr>
          <w:r>
            <w:rPr>
              <w:rFonts w:ascii="Century Gothic" w:hAnsi="Century Gothic"/>
            </w:rPr>
            <w:t xml:space="preserve">To support the goal of public participation throughout the process, staff is </w:t>
          </w:r>
          <w:r w:rsidR="00DA66C6">
            <w:rPr>
              <w:rFonts w:ascii="Century Gothic" w:hAnsi="Century Gothic"/>
            </w:rPr>
            <w:t xml:space="preserve">proposing that a first step would be for an </w:t>
          </w:r>
          <w:r w:rsidR="00FB0446" w:rsidRPr="002470CA">
            <w:rPr>
              <w:rFonts w:ascii="Century Gothic" w:hAnsi="Century Gothic"/>
            </w:rPr>
            <w:t xml:space="preserve">Integrated Electric Resources &amp; Master Plan </w:t>
          </w:r>
          <w:r w:rsidR="00DA66C6">
            <w:rPr>
              <w:rFonts w:ascii="Century Gothic" w:hAnsi="Century Gothic"/>
            </w:rPr>
            <w:t>work group be created</w:t>
          </w:r>
          <w:r w:rsidR="00FB0446">
            <w:rPr>
              <w:rFonts w:ascii="Century Gothic" w:hAnsi="Century Gothic"/>
            </w:rPr>
            <w:t>. The intent is for this workgroup to be involved in the planning throughout the entire process starting with developing a scope of services for selection of a consultant</w:t>
          </w:r>
          <w:r w:rsidR="00106654">
            <w:rPr>
              <w:rFonts w:ascii="Century Gothic" w:hAnsi="Century Gothic"/>
            </w:rPr>
            <w:t xml:space="preserve"> to support this planning process</w:t>
          </w:r>
          <w:r w:rsidR="00FB0446">
            <w:rPr>
              <w:rFonts w:ascii="Century Gothic" w:hAnsi="Century Gothic"/>
            </w:rPr>
            <w:t>. The</w:t>
          </w:r>
          <w:r w:rsidR="00DA66C6">
            <w:rPr>
              <w:rFonts w:ascii="Century Gothic" w:hAnsi="Century Gothic"/>
            </w:rPr>
            <w:t xml:space="preserve"> following structure for representation</w:t>
          </w:r>
          <w:r w:rsidR="00FB0446">
            <w:rPr>
              <w:rFonts w:ascii="Century Gothic" w:hAnsi="Century Gothic"/>
            </w:rPr>
            <w:t xml:space="preserve"> on this workgro</w:t>
          </w:r>
          <w:r w:rsidR="00106654">
            <w:rPr>
              <w:rFonts w:ascii="Century Gothic" w:hAnsi="Century Gothic"/>
            </w:rPr>
            <w:t>up is proposed</w:t>
          </w:r>
          <w:r w:rsidR="00FB0446">
            <w:rPr>
              <w:rFonts w:ascii="Century Gothic" w:hAnsi="Century Gothic"/>
            </w:rPr>
            <w:t>:</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Water &amp; Light Advisory Board Member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Water &amp; Light Advisory Board Member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Water &amp; Light Advisory Board Member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Water &amp; Light Advisory Board Member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Water &amp; Light Advisory Board Member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Residential Customer</w:t>
          </w:r>
          <w:bookmarkStart w:id="0" w:name="_GoBack"/>
          <w:bookmarkEnd w:id="0"/>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Commercial Customer</w:t>
          </w:r>
        </w:p>
        <w:p w:rsidR="00DA66C6"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Industrial Customer</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Columbia Public Schools</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University of Missouri</w:t>
          </w:r>
        </w:p>
        <w:p w:rsidR="00DA66C6"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Columbia Board of Health</w:t>
          </w:r>
        </w:p>
        <w:p w:rsidR="00DA66C6" w:rsidRDefault="00DA66C6" w:rsidP="00750A4D">
          <w:pPr>
            <w:pStyle w:val="ListParagraph"/>
            <w:numPr>
              <w:ilvl w:val="0"/>
              <w:numId w:val="2"/>
            </w:numPr>
            <w:spacing w:after="240" w:line="259" w:lineRule="auto"/>
            <w:rPr>
              <w:rFonts w:ascii="Century Gothic" w:hAnsi="Century Gothic"/>
            </w:rPr>
          </w:pPr>
          <w:r>
            <w:rPr>
              <w:rFonts w:ascii="Century Gothic" w:hAnsi="Century Gothic"/>
            </w:rPr>
            <w:t>Financial Inst</w:t>
          </w:r>
          <w:r w:rsidR="00871AAC">
            <w:rPr>
              <w:rFonts w:ascii="Century Gothic" w:hAnsi="Century Gothic"/>
            </w:rPr>
            <w:t>itu</w:t>
          </w:r>
          <w:r>
            <w:rPr>
              <w:rFonts w:ascii="Century Gothic" w:hAnsi="Century Gothic"/>
            </w:rPr>
            <w:t>tions</w:t>
          </w:r>
        </w:p>
        <w:p w:rsidR="00DA66C6" w:rsidRPr="00AC148C" w:rsidRDefault="00DA66C6" w:rsidP="00750A4D">
          <w:pPr>
            <w:pStyle w:val="ListParagraph"/>
            <w:numPr>
              <w:ilvl w:val="0"/>
              <w:numId w:val="2"/>
            </w:numPr>
            <w:spacing w:after="240" w:line="259" w:lineRule="auto"/>
            <w:rPr>
              <w:rFonts w:ascii="Century Gothic" w:hAnsi="Century Gothic"/>
            </w:rPr>
          </w:pPr>
          <w:r>
            <w:rPr>
              <w:rFonts w:ascii="Century Gothic" w:hAnsi="Century Gothic"/>
            </w:rPr>
            <w:t>Central Electric Cooperative</w:t>
          </w:r>
        </w:p>
        <w:p w:rsidR="00DA66C6" w:rsidRPr="00E86E9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Sustainability</w:t>
          </w:r>
          <w:r>
            <w:rPr>
              <w:rFonts w:ascii="Century Gothic" w:hAnsi="Century Gothic"/>
            </w:rPr>
            <w:t xml:space="preserve"> (</w:t>
          </w:r>
          <w:proofErr w:type="spellStart"/>
          <w:r>
            <w:rPr>
              <w:rFonts w:ascii="Century Gothic" w:hAnsi="Century Gothic"/>
            </w:rPr>
            <w:t>AdHoc</w:t>
          </w:r>
          <w:proofErr w:type="spellEnd"/>
          <w:r>
            <w:rPr>
              <w:rFonts w:ascii="Century Gothic" w:hAnsi="Century Gothic"/>
            </w:rPr>
            <w:t>)</w:t>
          </w:r>
        </w:p>
        <w:p w:rsidR="00DA66C6" w:rsidRPr="00AC148C" w:rsidRDefault="00DA66C6" w:rsidP="00750A4D">
          <w:pPr>
            <w:pStyle w:val="ListParagraph"/>
            <w:numPr>
              <w:ilvl w:val="0"/>
              <w:numId w:val="2"/>
            </w:numPr>
            <w:spacing w:after="240" w:line="259" w:lineRule="auto"/>
            <w:rPr>
              <w:rFonts w:ascii="Century Gothic" w:hAnsi="Century Gothic"/>
            </w:rPr>
          </w:pPr>
          <w:r w:rsidRPr="00E86E9C">
            <w:rPr>
              <w:rFonts w:ascii="Century Gothic" w:hAnsi="Century Gothic"/>
            </w:rPr>
            <w:t>Community Development</w:t>
          </w:r>
          <w:r>
            <w:rPr>
              <w:rFonts w:ascii="Century Gothic" w:hAnsi="Century Gothic"/>
            </w:rPr>
            <w:t xml:space="preserve"> (</w:t>
          </w:r>
          <w:proofErr w:type="spellStart"/>
          <w:r>
            <w:rPr>
              <w:rFonts w:ascii="Century Gothic" w:hAnsi="Century Gothic"/>
            </w:rPr>
            <w:t>AdHoc</w:t>
          </w:r>
          <w:proofErr w:type="spellEnd"/>
          <w:r>
            <w:rPr>
              <w:rFonts w:ascii="Century Gothic" w:hAnsi="Century Gothic"/>
            </w:rPr>
            <w:t>)</w:t>
          </w:r>
        </w:p>
        <w:p w:rsidR="00FB0446" w:rsidRDefault="002470CA" w:rsidP="00750A4D">
          <w:pPr>
            <w:spacing w:after="240"/>
            <w:rPr>
              <w:rFonts w:ascii="Century Gothic" w:hAnsi="Century Gothic"/>
            </w:rPr>
          </w:pPr>
          <w:r w:rsidRPr="002470CA">
            <w:rPr>
              <w:rFonts w:ascii="Century Gothic" w:hAnsi="Century Gothic"/>
            </w:rPr>
            <w:lastRenderedPageBreak/>
            <w:t>The planning period typically used in the past has been a 20 year planning horizon.</w:t>
          </w:r>
          <w:r w:rsidR="00750A4D">
            <w:rPr>
              <w:rFonts w:ascii="Century Gothic" w:hAnsi="Century Gothic"/>
            </w:rPr>
            <w:t xml:space="preserve"> </w:t>
          </w:r>
          <w:r w:rsidR="00750A4D" w:rsidRPr="002470CA">
            <w:rPr>
              <w:rFonts w:ascii="Century Gothic" w:hAnsi="Century Gothic"/>
            </w:rPr>
            <w:t>An objective of this Integrated Electric Resources &amp; Master Plan report is to document studies performed and decisions made as part of past planning processes.</w:t>
          </w:r>
          <w:r w:rsidR="00750A4D">
            <w:rPr>
              <w:rFonts w:ascii="Century Gothic" w:hAnsi="Century Gothic"/>
            </w:rPr>
            <w:t xml:space="preserve"> </w:t>
          </w:r>
          <w:r w:rsidRPr="002470CA">
            <w:rPr>
              <w:rFonts w:ascii="Century Gothic" w:hAnsi="Century Gothic"/>
            </w:rPr>
            <w:t>The Integrated Electric Resources &amp; Master Planning process is intended to provide an opportunity for electric system planners to address complex issues in a structured, inclusive and transparent manner and at the same time provide an opportunity for interested parties both inside and outside the planning area to review, understand and provide input to planning decisions.</w:t>
          </w:r>
          <w:r w:rsidR="00750A4D">
            <w:rPr>
              <w:rFonts w:ascii="Century Gothic" w:hAnsi="Century Gothic"/>
            </w:rPr>
            <w:t xml:space="preserve"> </w:t>
          </w:r>
          <w:r w:rsidR="00641763">
            <w:rPr>
              <w:rFonts w:ascii="Century Gothic" w:hAnsi="Century Gothic"/>
            </w:rPr>
            <w:t>C</w:t>
          </w:r>
          <w:r w:rsidR="00FB0446">
            <w:rPr>
              <w:rFonts w:ascii="Century Gothic" w:hAnsi="Century Gothic"/>
            </w:rPr>
            <w:t>oordination</w:t>
          </w:r>
          <w:r w:rsidR="00641763">
            <w:rPr>
              <w:rFonts w:ascii="Century Gothic" w:hAnsi="Century Gothic"/>
            </w:rPr>
            <w:t xml:space="preserve"> with development of the Climate Action Plan is an important internal issue </w:t>
          </w:r>
          <w:r w:rsidR="00FB0446">
            <w:rPr>
              <w:rFonts w:ascii="Century Gothic" w:hAnsi="Century Gothic"/>
            </w:rPr>
            <w:t>that will need to be su</w:t>
          </w:r>
          <w:r w:rsidR="00641763">
            <w:rPr>
              <w:rFonts w:ascii="Century Gothic" w:hAnsi="Century Gothic"/>
            </w:rPr>
            <w:t>pported. Having these two processes running together should provide a</w:t>
          </w:r>
          <w:r w:rsidR="00106654">
            <w:rPr>
              <w:rFonts w:ascii="Century Gothic" w:hAnsi="Century Gothic"/>
            </w:rPr>
            <w:t xml:space="preserve">n </w:t>
          </w:r>
          <w:r w:rsidR="00641763">
            <w:rPr>
              <w:rFonts w:ascii="Century Gothic" w:hAnsi="Century Gothic"/>
            </w:rPr>
            <w:t xml:space="preserve">opportunity for </w:t>
          </w:r>
          <w:r w:rsidR="00106654">
            <w:rPr>
              <w:rFonts w:ascii="Century Gothic" w:hAnsi="Century Gothic"/>
            </w:rPr>
            <w:t xml:space="preserve">the beneficial </w:t>
          </w:r>
          <w:r w:rsidR="00641763">
            <w:rPr>
              <w:rFonts w:ascii="Century Gothic" w:hAnsi="Century Gothic"/>
            </w:rPr>
            <w:t xml:space="preserve">exchange of useful information. </w:t>
          </w:r>
        </w:p>
        <w:p w:rsidR="00CE4274" w:rsidRDefault="008F0668" w:rsidP="00750A4D">
          <w:pPr>
            <w:spacing w:after="240"/>
            <w:rPr>
              <w:rFonts w:ascii="Century Gothic" w:hAnsi="Century Gothic"/>
            </w:rPr>
          </w:pPr>
          <w:r>
            <w:rPr>
              <w:rFonts w:ascii="Century Gothic" w:hAnsi="Century Gothic"/>
            </w:rPr>
            <w:t>T</w:t>
          </w:r>
          <w:r w:rsidRPr="002470CA">
            <w:rPr>
              <w:rFonts w:ascii="Century Gothic" w:hAnsi="Century Gothic"/>
            </w:rPr>
            <w:t xml:space="preserve">he Integrated Electric Resources &amp; Master Plan report is </w:t>
          </w:r>
          <w:r>
            <w:rPr>
              <w:rFonts w:ascii="Century Gothic" w:hAnsi="Century Gothic"/>
            </w:rPr>
            <w:t xml:space="preserve">intended </w:t>
          </w:r>
          <w:r w:rsidRPr="002470CA">
            <w:rPr>
              <w:rFonts w:ascii="Century Gothic" w:hAnsi="Century Gothic"/>
            </w:rPr>
            <w:t xml:space="preserve">to develop </w:t>
          </w:r>
          <w:r>
            <w:rPr>
              <w:rFonts w:ascii="Century Gothic" w:hAnsi="Century Gothic"/>
            </w:rPr>
            <w:t xml:space="preserve">options for </w:t>
          </w:r>
          <w:r w:rsidRPr="002470CA">
            <w:rPr>
              <w:rFonts w:ascii="Century Gothic" w:hAnsi="Century Gothic"/>
            </w:rPr>
            <w:t>environmentally sound power supply strategies which provide reliable electric servi</w:t>
          </w:r>
          <w:r>
            <w:rPr>
              <w:rFonts w:ascii="Century Gothic" w:hAnsi="Century Gothic"/>
            </w:rPr>
            <w:t xml:space="preserve">ce at the lowest practical cost and </w:t>
          </w:r>
          <w:r w:rsidRPr="002470CA">
            <w:rPr>
              <w:rFonts w:ascii="Century Gothic" w:hAnsi="Century Gothic"/>
            </w:rPr>
            <w:t xml:space="preserve">recommend the steps </w:t>
          </w:r>
          <w:r>
            <w:rPr>
              <w:rFonts w:ascii="Century Gothic" w:hAnsi="Century Gothic"/>
            </w:rPr>
            <w:t xml:space="preserve">for </w:t>
          </w:r>
          <w:r w:rsidRPr="002470CA">
            <w:rPr>
              <w:rFonts w:ascii="Century Gothic" w:hAnsi="Century Gothic"/>
            </w:rPr>
            <w:t>implement</w:t>
          </w:r>
          <w:r>
            <w:rPr>
              <w:rFonts w:ascii="Century Gothic" w:hAnsi="Century Gothic"/>
            </w:rPr>
            <w:t>ation of</w:t>
          </w:r>
          <w:r w:rsidRPr="002470CA">
            <w:rPr>
              <w:rFonts w:ascii="Century Gothic" w:hAnsi="Century Gothic"/>
            </w:rPr>
            <w:t xml:space="preserve"> </w:t>
          </w:r>
          <w:r>
            <w:rPr>
              <w:rFonts w:ascii="Century Gothic" w:hAnsi="Century Gothic"/>
            </w:rPr>
            <w:t xml:space="preserve">the </w:t>
          </w:r>
          <w:r w:rsidRPr="002470CA">
            <w:rPr>
              <w:rFonts w:ascii="Century Gothic" w:hAnsi="Century Gothic"/>
            </w:rPr>
            <w:t xml:space="preserve">electric system projects and </w:t>
          </w:r>
          <w:r>
            <w:rPr>
              <w:rFonts w:ascii="Century Gothic" w:hAnsi="Century Gothic"/>
            </w:rPr>
            <w:t>g</w:t>
          </w:r>
          <w:r w:rsidRPr="002470CA">
            <w:rPr>
              <w:rFonts w:ascii="Century Gothic" w:hAnsi="Century Gothic"/>
            </w:rPr>
            <w:t>oals.</w:t>
          </w:r>
          <w:r w:rsidR="00750A4D">
            <w:rPr>
              <w:rFonts w:ascii="Century Gothic" w:hAnsi="Century Gothic"/>
            </w:rPr>
            <w:t xml:space="preserve"> </w:t>
          </w:r>
          <w:r w:rsidR="002470CA" w:rsidRPr="002470CA">
            <w:rPr>
              <w:rFonts w:ascii="Century Gothic" w:hAnsi="Century Gothic"/>
            </w:rPr>
            <w:t>Included with this is</w:t>
          </w:r>
          <w:r w:rsidR="00750A4D">
            <w:rPr>
              <w:rFonts w:ascii="Century Gothic" w:hAnsi="Century Gothic"/>
            </w:rPr>
            <w:t xml:space="preserve"> memo is</w:t>
          </w:r>
          <w:r w:rsidR="002470CA" w:rsidRPr="002470CA">
            <w:rPr>
              <w:rFonts w:ascii="Century Gothic" w:hAnsi="Century Gothic"/>
            </w:rPr>
            <w:t xml:space="preserve"> a draft scope of services for the proposed Integrated Electric Resources &amp; Master Plan.</w:t>
          </w:r>
        </w:p>
      </w:sdtContent>
    </w:sdt>
    <w:p w:rsidR="002773F7" w:rsidRDefault="00D44CD9" w:rsidP="002470CA">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470C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470CA">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871AA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4"/>
        <w:gridCol w:w="780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470CA" w:rsidP="002470CA">
                <w:pPr>
                  <w:rPr>
                    <w:rFonts w:ascii="Century Gothic" w:hAnsi="Century Gothic"/>
                  </w:rPr>
                </w:pPr>
                <w:r>
                  <w:rPr>
                    <w:rFonts w:ascii="Century Gothic" w:hAnsi="Century Gothic"/>
                  </w:rPr>
                  <w:t xml:space="preserve"> </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470CA" w:rsidP="002470CA">
                <w:pPr>
                  <w:rPr>
                    <w:rFonts w:ascii="Century Gothic" w:hAnsi="Century Gothic"/>
                  </w:rPr>
                </w:pPr>
                <w:r>
                  <w:rPr>
                    <w:rFonts w:ascii="Century Gothic" w:hAnsi="Century Gothic"/>
                  </w:rPr>
                  <w:t xml:space="preserve">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344C59" w:rsidRPr="002470CA" w:rsidRDefault="002470CA" w:rsidP="00C379A1">
          <w:pPr>
            <w:tabs>
              <w:tab w:val="left" w:pos="4530"/>
            </w:tabs>
            <w:rPr>
              <w:rFonts w:ascii="Century Gothic" w:hAnsi="Century Gothic"/>
            </w:rPr>
          </w:pPr>
          <w:r>
            <w:rPr>
              <w:rFonts w:ascii="Century Gothic" w:hAnsi="Century Gothic"/>
            </w:rPr>
            <w:t>Provided Direction to Staff on proposed approach for the next electric system planning process</w:t>
          </w:r>
        </w:p>
      </w:sdtContent>
    </w:sdt>
    <w:sectPr w:rsidR="00344C59" w:rsidRPr="002470CA"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2B72"/>
    <w:multiLevelType w:val="hybridMultilevel"/>
    <w:tmpl w:val="E55C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40695"/>
    <w:multiLevelType w:val="hybridMultilevel"/>
    <w:tmpl w:val="7C60F1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34CA3"/>
    <w:rsid w:val="000476B6"/>
    <w:rsid w:val="000564F4"/>
    <w:rsid w:val="00081116"/>
    <w:rsid w:val="00092AD1"/>
    <w:rsid w:val="000E2AA6"/>
    <w:rsid w:val="000E37AB"/>
    <w:rsid w:val="000E3DAB"/>
    <w:rsid w:val="00106654"/>
    <w:rsid w:val="0011191B"/>
    <w:rsid w:val="00160464"/>
    <w:rsid w:val="00171EA0"/>
    <w:rsid w:val="00175F6B"/>
    <w:rsid w:val="001E142A"/>
    <w:rsid w:val="001F1288"/>
    <w:rsid w:val="002470CA"/>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23CC2"/>
    <w:rsid w:val="00572FBB"/>
    <w:rsid w:val="005831E4"/>
    <w:rsid w:val="00591DC5"/>
    <w:rsid w:val="005B3871"/>
    <w:rsid w:val="005F6088"/>
    <w:rsid w:val="00625FCB"/>
    <w:rsid w:val="00641763"/>
    <w:rsid w:val="00646D99"/>
    <w:rsid w:val="006D6E9E"/>
    <w:rsid w:val="006F185A"/>
    <w:rsid w:val="00750A4D"/>
    <w:rsid w:val="00791D82"/>
    <w:rsid w:val="008078EB"/>
    <w:rsid w:val="008372DA"/>
    <w:rsid w:val="00852DF7"/>
    <w:rsid w:val="00871AAC"/>
    <w:rsid w:val="00883565"/>
    <w:rsid w:val="008C6849"/>
    <w:rsid w:val="008F0551"/>
    <w:rsid w:val="008F0668"/>
    <w:rsid w:val="00942001"/>
    <w:rsid w:val="00945C5D"/>
    <w:rsid w:val="00952E34"/>
    <w:rsid w:val="00970DAF"/>
    <w:rsid w:val="00974B88"/>
    <w:rsid w:val="009851C2"/>
    <w:rsid w:val="00992DCF"/>
    <w:rsid w:val="00995129"/>
    <w:rsid w:val="009B0B65"/>
    <w:rsid w:val="009B5E9C"/>
    <w:rsid w:val="009D5168"/>
    <w:rsid w:val="00A21BBD"/>
    <w:rsid w:val="00A2306D"/>
    <w:rsid w:val="00A37B59"/>
    <w:rsid w:val="00A67E22"/>
    <w:rsid w:val="00A85777"/>
    <w:rsid w:val="00AC12A0"/>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A66C6"/>
    <w:rsid w:val="00DC18D1"/>
    <w:rsid w:val="00DE2810"/>
    <w:rsid w:val="00DF4837"/>
    <w:rsid w:val="00E21F4E"/>
    <w:rsid w:val="00E455B0"/>
    <w:rsid w:val="00E518F5"/>
    <w:rsid w:val="00E52526"/>
    <w:rsid w:val="00E74D19"/>
    <w:rsid w:val="00EB1A02"/>
    <w:rsid w:val="00EC2404"/>
    <w:rsid w:val="00ED1548"/>
    <w:rsid w:val="00EE317A"/>
    <w:rsid w:val="00F214E8"/>
    <w:rsid w:val="00F30B5A"/>
    <w:rsid w:val="00F52F64"/>
    <w:rsid w:val="00F61EE4"/>
    <w:rsid w:val="00F90AB9"/>
    <w:rsid w:val="00FA2504"/>
    <w:rsid w:val="00FA2BBC"/>
    <w:rsid w:val="00FB044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27EC75B-E7C2-4262-8431-F68FCF8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2470C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1051C"/>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1051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276212141C945B5B85994222C9FEA82">
    <w:name w:val="A276212141C945B5B85994222C9FEA82"/>
    <w:rsid w:val="005105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276D-D45A-4766-A1D3-37BC081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2</cp:revision>
  <cp:lastPrinted>2017-12-20T17:56:00Z</cp:lastPrinted>
  <dcterms:created xsi:type="dcterms:W3CDTF">2017-12-22T16:44:00Z</dcterms:created>
  <dcterms:modified xsi:type="dcterms:W3CDTF">2017-12-22T16:44:00Z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