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6CE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E23D51">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sdt>
            <w:sdtPr>
              <w:rPr>
                <w:rFonts w:ascii="Century Gothic" w:eastAsiaTheme="majorEastAsia" w:hAnsi="Century Gothic"/>
              </w:rPr>
              <w:id w:val="1453209291"/>
              <w:placeholder>
                <w:docPart w:val="4346A16BB231497F995DFC1EC73443E2"/>
              </w:placeholder>
            </w:sdtPr>
            <w:sdtContent>
              <w:r w:rsidR="00E23D51">
                <w:rPr>
                  <w:rFonts w:ascii="Century Gothic" w:eastAsiaTheme="majorEastAsia" w:hAnsi="Century Gothic"/>
                </w:rPr>
                <w:t xml:space="preserve">NGT, </w:t>
              </w:r>
              <w:proofErr w:type="spellStart"/>
              <w:r w:rsidR="00E23D51">
                <w:rPr>
                  <w:rFonts w:ascii="Century Gothic" w:eastAsiaTheme="majorEastAsia" w:hAnsi="Century Gothic"/>
                </w:rPr>
                <w:t>Inc</w:t>
              </w:r>
              <w:proofErr w:type="spellEnd"/>
              <w:r w:rsidR="00E23D51" w:rsidRPr="000E44DE">
                <w:rPr>
                  <w:rFonts w:ascii="Century Gothic" w:eastAsiaTheme="majorEastAsia" w:hAnsi="Century Gothic"/>
                </w:rPr>
                <w:t xml:space="preserve"> Annexation –</w:t>
              </w:r>
              <w:r w:rsidR="00E23D51">
                <w:rPr>
                  <w:rFonts w:ascii="Century Gothic" w:eastAsiaTheme="majorEastAsia" w:hAnsi="Century Gothic"/>
                </w:rPr>
                <w:t xml:space="preserve"> </w:t>
              </w:r>
              <w:r w:rsidR="00E23D51" w:rsidRPr="000E44DE">
                <w:rPr>
                  <w:rFonts w:ascii="Century Gothic" w:eastAsiaTheme="majorEastAsia" w:hAnsi="Century Gothic"/>
                </w:rPr>
                <w:t>Annexation Public Hearing (Case #17-2</w:t>
              </w:r>
              <w:r w:rsidR="00E23D51">
                <w:rPr>
                  <w:rFonts w:ascii="Century Gothic" w:eastAsiaTheme="majorEastAsia" w:hAnsi="Century Gothic"/>
                </w:rPr>
                <w:t>38</w:t>
              </w:r>
              <w:r w:rsidR="00E23D51" w:rsidRPr="000E44DE">
                <w:rPr>
                  <w:rFonts w:ascii="Century Gothic" w:eastAsiaTheme="majorEastAsia" w:hAnsi="Century Gothic"/>
                </w:rPr>
                <w:t>)</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E760F" w:rsidRPr="00791D82" w:rsidRDefault="009E760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575F88" w:rsidRDefault="00537C42">
      <w:pPr>
        <w:rPr>
          <w:rFonts w:ascii="Century Gothic" w:hAnsi="Century Gothic"/>
        </w:rPr>
      </w:pPr>
      <w:r>
        <w:rPr>
          <w:rFonts w:ascii="Century Gothic" w:hAnsi="Century Gothic"/>
        </w:rPr>
        <w:t>This request will meet the State Statu</w:t>
      </w:r>
      <w:r w:rsidR="000274B8">
        <w:rPr>
          <w:rFonts w:ascii="Century Gothic" w:hAnsi="Century Gothic"/>
        </w:rPr>
        <w:t>t</w:t>
      </w:r>
      <w:r>
        <w:rPr>
          <w:rFonts w:ascii="Century Gothic" w:hAnsi="Century Gothic"/>
        </w:rPr>
        <w:t>e public hearing requirements on the proposed annexation and permanent zoning of approximately</w:t>
      </w:r>
      <w:r w:rsidR="00C651B5">
        <w:rPr>
          <w:rFonts w:ascii="Century Gothic" w:hAnsi="Century Gothic"/>
        </w:rPr>
        <w:t xml:space="preserve"> </w:t>
      </w:r>
      <w:r w:rsidR="00E23D51" w:rsidRPr="000E44DE">
        <w:rPr>
          <w:rFonts w:ascii="Century Gothic" w:hAnsi="Century Gothic"/>
        </w:rPr>
        <w:t>1</w:t>
      </w:r>
      <w:r w:rsidR="00E23D51">
        <w:rPr>
          <w:rFonts w:ascii="Century Gothic" w:hAnsi="Century Gothic"/>
        </w:rPr>
        <w:t>0.36</w:t>
      </w:r>
      <w:r w:rsidR="00E23D51" w:rsidRPr="000E44DE">
        <w:rPr>
          <w:rFonts w:ascii="Century Gothic" w:hAnsi="Century Gothic"/>
        </w:rPr>
        <w:t xml:space="preserve"> acres of land located at </w:t>
      </w:r>
      <w:r w:rsidR="00E23D51">
        <w:rPr>
          <w:rFonts w:ascii="Century Gothic" w:hAnsi="Century Gothic"/>
        </w:rPr>
        <w:t xml:space="preserve">the northwest corner of </w:t>
      </w:r>
      <w:proofErr w:type="spellStart"/>
      <w:r w:rsidR="00E23D51">
        <w:rPr>
          <w:rFonts w:ascii="Century Gothic" w:hAnsi="Century Gothic"/>
        </w:rPr>
        <w:t>Vawter</w:t>
      </w:r>
      <w:proofErr w:type="spellEnd"/>
      <w:r w:rsidR="00E23D51">
        <w:rPr>
          <w:rFonts w:ascii="Century Gothic" w:hAnsi="Century Gothic"/>
        </w:rPr>
        <w:t xml:space="preserve"> School Road and Scott Boulevard.</w:t>
      </w:r>
    </w:p>
    <w:p w:rsidR="002773F7" w:rsidRDefault="00C651B5">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A15145E" wp14:editId="75BB4CF0">
                <wp:simplePos x="0" y="0"/>
                <wp:positionH relativeFrom="column">
                  <wp:posOffset>19050</wp:posOffset>
                </wp:positionH>
                <wp:positionV relativeFrom="paragraph">
                  <wp:posOffset>57150</wp:posOffset>
                </wp:positionV>
                <wp:extent cx="6797675" cy="1403985"/>
                <wp:effectExtent l="0" t="0" r="2222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E760F" w:rsidRPr="00791D82" w:rsidRDefault="009E760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4.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RW81C3QAAAAgB&#10;AAAPAAAAZHJzL2Rvd25yZXYueG1sTI/BbsIwEETvlfoP1lbqrdgQkdI0G4SqcmlPpL30ZuJtEhGv&#10;o9iQ8PeYE5xGq1nNvMnXk+3EiQbfOkaYzxQI4sqZlmuE35/tywqED5qN7hwTwpk8rIvHh1xnxo28&#10;o1MZahFD2GcaoQmhz6T0VUNW+5nriaP37warQzyHWppBjzHcdnKhVCqtbjk2NLqnj4aqQ3m0CMt0&#10;5DONK5lOm6/y+7NOdn8HRnx+mjbvIAJN4fYMV/yIDkVk2rsjGy86hCQuCQhvUa6uek2WIPYIi0TN&#10;QRa5vB9QXAAAAP//AwBQSwECLQAUAAYACAAAACEAtoM4kv4AAADhAQAAEwAAAAAAAAAAAAAAAAAA&#10;AAAAW0NvbnRlbnRfVHlwZXNdLnhtbFBLAQItABQABgAIAAAAIQA4/SH/1gAAAJQBAAALAAAAAAAA&#10;AAAAAAAAAC8BAABfcmVscy8ucmVsc1BLAQItABQABgAIAAAAIQAQqMg7OwIAAG8EAAAOAAAAAAAA&#10;AAAAAAAAAC4CAABkcnMvZTJvRG9jLnhtbFBLAQItABQABgAIAAAAIQBRW81C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Content>
        <w:p w:rsidR="00BC2739" w:rsidRDefault="00BC2739" w:rsidP="00E23D51">
          <w:pPr>
            <w:rPr>
              <w:rFonts w:ascii="Century Gothic" w:hAnsi="Century Gothic"/>
            </w:rPr>
          </w:pPr>
          <w:r w:rsidRPr="00BC2739">
            <w:rPr>
              <w:rFonts w:ascii="Century Gothic" w:hAnsi="Century Gothic"/>
            </w:rPr>
            <w:t xml:space="preserve">The applicant, </w:t>
          </w:r>
          <w:r w:rsidRPr="00BC2739">
            <w:rPr>
              <w:rFonts w:ascii="Century Gothic" w:hAnsi="Century Gothic"/>
              <w:bCs/>
            </w:rPr>
            <w:t xml:space="preserve">Smith Lewis, LLP (agent), on behalf of NGT, Inc. (owners), seek to annex </w:t>
          </w:r>
          <w:r w:rsidRPr="00BC2739">
            <w:rPr>
              <w:rFonts w:ascii="Century Gothic" w:hAnsi="Century Gothic"/>
            </w:rPr>
            <w:t xml:space="preserve">10.36 acres into the City of Columbia and apply M-N (Mixed-Use Neighborhood District) zoning as the site’s permanent zoning.  Annexation is sought to allow the parcel to connect to the City’s sewer and utility services.  </w:t>
          </w:r>
          <w:r w:rsidR="009E760F" w:rsidRPr="009E760F">
            <w:rPr>
              <w:rFonts w:ascii="Century Gothic" w:hAnsi="Century Gothic"/>
            </w:rPr>
            <w:t>The subject acreage is contiguous to the City along its north boundary and to the east across Scott Boulevard.</w:t>
          </w:r>
          <w:r w:rsidRPr="00BC2739">
            <w:rPr>
              <w:rFonts w:ascii="Century Gothic" w:hAnsi="Century Gothic"/>
            </w:rPr>
            <w:t xml:space="preserve"> </w:t>
          </w:r>
        </w:p>
        <w:p w:rsidR="00BC2739" w:rsidRDefault="00BC2739" w:rsidP="00E23D51">
          <w:pPr>
            <w:rPr>
              <w:rFonts w:ascii="Century Gothic" w:hAnsi="Century Gothic"/>
            </w:rPr>
          </w:pPr>
        </w:p>
        <w:p w:rsidR="009E760F" w:rsidRDefault="009E760F" w:rsidP="009E760F">
          <w:pPr>
            <w:rPr>
              <w:rFonts w:ascii="Century Gothic" w:hAnsi="Century Gothic"/>
            </w:rPr>
          </w:pPr>
          <w:r>
            <w:rPr>
              <w:rFonts w:ascii="Century Gothic" w:hAnsi="Century Gothic"/>
            </w:rPr>
            <w:t xml:space="preserve">The purpose of this public </w:t>
          </w:r>
          <w:r w:rsidRPr="009E760F">
            <w:rPr>
              <w:rFonts w:ascii="Century Gothic" w:hAnsi="Century Gothic"/>
            </w:rPr>
            <w:t xml:space="preserve">hearing is to receive public comments regarding the annexation and to determine if such action is a reasonable and necessary expansion of the city’s corporate limits.  The </w:t>
          </w:r>
          <w:r>
            <w:rPr>
              <w:rFonts w:ascii="Century Gothic" w:hAnsi="Century Gothic"/>
            </w:rPr>
            <w:t xml:space="preserve">applicant’s requested permanent zoning application has is being introduced concurrently with this </w:t>
          </w:r>
          <w:r w:rsidRPr="009E760F">
            <w:rPr>
              <w:rFonts w:ascii="Century Gothic" w:hAnsi="Century Gothic"/>
            </w:rPr>
            <w:t>public hearing</w:t>
          </w:r>
          <w:r>
            <w:rPr>
              <w:rFonts w:ascii="Century Gothic" w:hAnsi="Century Gothic"/>
            </w:rPr>
            <w:t>. The outcome of the Planning and Zoning Commission hearing are fully described within the separate permanent zoning request.</w:t>
          </w:r>
          <w:r w:rsidRPr="009E760F">
            <w:rPr>
              <w:rFonts w:ascii="Century Gothic" w:hAnsi="Century Gothic"/>
            </w:rPr>
            <w:t xml:space="preserve"> </w:t>
          </w:r>
        </w:p>
        <w:p w:rsidR="009E760F" w:rsidRPr="009E760F" w:rsidRDefault="009E760F" w:rsidP="009E760F">
          <w:pPr>
            <w:rPr>
              <w:rFonts w:ascii="Century Gothic" w:hAnsi="Century Gothic"/>
            </w:rPr>
          </w:pPr>
        </w:p>
        <w:p w:rsidR="00E23D51" w:rsidRDefault="00E23D51" w:rsidP="00E23D51">
          <w:pPr>
            <w:rPr>
              <w:rFonts w:ascii="Century Gothic" w:hAnsi="Century Gothic"/>
            </w:rPr>
          </w:pPr>
          <w:r>
            <w:rPr>
              <w:rFonts w:ascii="Century Gothic" w:hAnsi="Century Gothic"/>
            </w:rPr>
            <w:t xml:space="preserve">The subject site would be located entirely within the City’s FP-O (Floodplain Overlay District) if already annexed into the corporate limits.  Approximately two-thirds of the northwestern portion of the site lie within the “floodway” with the remaining area of the site, the northwest corner at Scott Boulevard and Brushwood Lake Road, located within the “flood fringe”.  The development of the site, as desired by the applicant, will be further determined by submission of development plans following Council’s determination if annexation is appropriate.  </w:t>
          </w:r>
        </w:p>
        <w:p w:rsidR="00E23D51" w:rsidRPr="00867ECA" w:rsidRDefault="00E23D51" w:rsidP="00E23D51">
          <w:pPr>
            <w:rPr>
              <w:rFonts w:ascii="Century Gothic" w:hAnsi="Century Gothic"/>
            </w:rPr>
          </w:pPr>
        </w:p>
        <w:p w:rsidR="00E23D51" w:rsidRDefault="00E23D51" w:rsidP="00E23D51">
          <w:pPr>
            <w:rPr>
              <w:rFonts w:ascii="Century Gothic" w:hAnsi="Century Gothic"/>
            </w:rPr>
          </w:pPr>
          <w:r w:rsidRPr="00867ECA">
            <w:rPr>
              <w:rFonts w:ascii="Century Gothic" w:hAnsi="Century Gothic"/>
            </w:rPr>
            <w:t>The parcel is located within the Urban Services Area</w:t>
          </w:r>
          <w:r>
            <w:rPr>
              <w:rFonts w:ascii="Century Gothic" w:hAnsi="Century Gothic"/>
            </w:rPr>
            <w:t xml:space="preserve"> as depicted within the city’s C</w:t>
          </w:r>
          <w:r w:rsidRPr="00867ECA">
            <w:rPr>
              <w:rFonts w:ascii="Century Gothic" w:hAnsi="Century Gothic"/>
            </w:rPr>
            <w:t xml:space="preserve">omprehensive </w:t>
          </w:r>
          <w:r>
            <w:rPr>
              <w:rFonts w:ascii="Century Gothic" w:hAnsi="Century Gothic"/>
            </w:rPr>
            <w:t>P</w:t>
          </w:r>
          <w:r w:rsidRPr="00867ECA">
            <w:rPr>
              <w:rFonts w:ascii="Century Gothic" w:hAnsi="Century Gothic"/>
            </w:rPr>
            <w:t xml:space="preserve">lan.  The site </w:t>
          </w:r>
          <w:r>
            <w:rPr>
              <w:rFonts w:ascii="Century Gothic" w:hAnsi="Century Gothic"/>
            </w:rPr>
            <w:t xml:space="preserve">is serviced by City </w:t>
          </w:r>
          <w:r w:rsidRPr="00867ECA">
            <w:rPr>
              <w:rFonts w:ascii="Century Gothic" w:hAnsi="Century Gothic"/>
            </w:rPr>
            <w:t>electric and water se</w:t>
          </w:r>
          <w:r>
            <w:rPr>
              <w:rFonts w:ascii="Century Gothic" w:hAnsi="Century Gothic"/>
            </w:rPr>
            <w:t>rvice.</w:t>
          </w:r>
          <w:r w:rsidRPr="00867ECA">
            <w:rPr>
              <w:rFonts w:ascii="Century Gothic" w:hAnsi="Century Gothic"/>
            </w:rPr>
            <w:t xml:space="preserve">  </w:t>
          </w:r>
          <w:r>
            <w:rPr>
              <w:rFonts w:ascii="Century Gothic" w:hAnsi="Century Gothic"/>
            </w:rPr>
            <w:t>Fire protection</w:t>
          </w:r>
          <w:r w:rsidRPr="00867ECA">
            <w:rPr>
              <w:rFonts w:ascii="Century Gothic" w:hAnsi="Century Gothic"/>
            </w:rPr>
            <w:t>, upon annexation, would transfer to the City; however, under the existing territorial agreement would be jointly shared between Boone County and the City.</w:t>
          </w:r>
          <w:r>
            <w:rPr>
              <w:rFonts w:ascii="Century Gothic" w:hAnsi="Century Gothic"/>
            </w:rPr>
            <w:t xml:space="preserve"> </w:t>
          </w:r>
          <w:r w:rsidR="00BC2739">
            <w:rPr>
              <w:rFonts w:ascii="Century Gothic" w:hAnsi="Century Gothic"/>
            </w:rPr>
            <w:t xml:space="preserve"> </w:t>
          </w:r>
          <w:r>
            <w:rPr>
              <w:rFonts w:ascii="Century Gothic" w:hAnsi="Century Gothic"/>
            </w:rPr>
            <w:t>County Fire Station #14 is directly east of the subject site.</w:t>
          </w:r>
        </w:p>
        <w:p w:rsidR="00E23D51" w:rsidRPr="00867ECA" w:rsidRDefault="00E23D51" w:rsidP="00E23D51">
          <w:pPr>
            <w:rPr>
              <w:rFonts w:ascii="Century Gothic" w:hAnsi="Century Gothic"/>
            </w:rPr>
          </w:pPr>
        </w:p>
        <w:p w:rsidR="00E23D51" w:rsidRDefault="00E23D51" w:rsidP="00E23D51">
          <w:pPr>
            <w:rPr>
              <w:rFonts w:ascii="Century Gothic" w:hAnsi="Century Gothic"/>
            </w:rPr>
          </w:pPr>
          <w:r w:rsidRPr="00867ECA">
            <w:rPr>
              <w:rFonts w:ascii="Century Gothic" w:hAnsi="Century Gothic"/>
            </w:rPr>
            <w:t>Scott Boulevard, along the eastern edge of the site, is designated as a major arterial roadway on the CATSO Major Roadway Plan.  Brushwood Lake Road</w:t>
          </w:r>
          <w:r>
            <w:rPr>
              <w:rFonts w:ascii="Century Gothic" w:hAnsi="Century Gothic"/>
            </w:rPr>
            <w:t xml:space="preserve"> bisects the southern portion of the site and </w:t>
          </w:r>
          <w:r w:rsidRPr="00867ECA">
            <w:rPr>
              <w:rFonts w:ascii="Century Gothic" w:hAnsi="Century Gothic"/>
            </w:rPr>
            <w:t xml:space="preserve">is designated as a neighborhood collector. </w:t>
          </w:r>
          <w:r>
            <w:rPr>
              <w:rFonts w:ascii="Century Gothic" w:hAnsi="Century Gothic"/>
            </w:rPr>
            <w:t xml:space="preserve">Both roadways were recently reconstructed; however, additional right of way will need to be dedicated to ensure compliance with City street standards.  Dedication of the additional right of way will </w:t>
          </w:r>
          <w:r>
            <w:rPr>
              <w:rFonts w:ascii="Century Gothic" w:hAnsi="Century Gothic"/>
            </w:rPr>
            <w:lastRenderedPageBreak/>
            <w:t xml:space="preserve">be obtained at the time the site is final platted.  Final platting is required since the site is not considered a “legal lot” per the Unified Development Code.  </w:t>
          </w:r>
        </w:p>
        <w:p w:rsidR="00E23D51" w:rsidRDefault="00E23D51" w:rsidP="00E23D51">
          <w:pPr>
            <w:rPr>
              <w:rFonts w:ascii="Century Gothic" w:hAnsi="Century Gothic"/>
            </w:rPr>
          </w:pPr>
        </w:p>
        <w:p w:rsidR="00E23D51" w:rsidRPr="004E6399" w:rsidRDefault="00E23D51" w:rsidP="00E23D51">
          <w:pPr>
            <w:rPr>
              <w:rFonts w:ascii="Century Gothic" w:hAnsi="Century Gothic"/>
            </w:rPr>
          </w:pPr>
          <w:r w:rsidRPr="004E6399">
            <w:rPr>
              <w:rFonts w:ascii="Century Gothic" w:hAnsi="Century Gothic"/>
            </w:rPr>
            <w:t xml:space="preserve">The Planning and Zoning Commission considered this proposal at their December 7, 2017 meeting.  Following significant discussion regarding the environmental limitations impacting the site and limited information on the outcome of a </w:t>
          </w:r>
          <w:r w:rsidR="00BC2739">
            <w:rPr>
              <w:rFonts w:ascii="Century Gothic" w:hAnsi="Century Gothic"/>
            </w:rPr>
            <w:t xml:space="preserve">pending </w:t>
          </w:r>
          <w:r w:rsidRPr="004E6399">
            <w:rPr>
              <w:rFonts w:ascii="Century Gothic" w:hAnsi="Century Gothic"/>
            </w:rPr>
            <w:t xml:space="preserve">Letter of Map Revision (LOMR) from FEMA, the Commission voted (4-4) on the proposed permanent M-N zoning.  According to the Commission’s Rules of Procedure, a tie vote means no Commission recommendation </w:t>
          </w:r>
          <w:r w:rsidR="00BC2739">
            <w:rPr>
              <w:rFonts w:ascii="Century Gothic" w:hAnsi="Century Gothic"/>
            </w:rPr>
            <w:t>is being p</w:t>
          </w:r>
          <w:r w:rsidRPr="004E6399">
            <w:rPr>
              <w:rFonts w:ascii="Century Gothic" w:hAnsi="Century Gothic"/>
            </w:rPr>
            <w:t>resented to Council on the requested permanent zoning.</w:t>
          </w:r>
        </w:p>
        <w:p w:rsidR="004925A0" w:rsidRPr="00537C42" w:rsidRDefault="004925A0" w:rsidP="00CE4274">
          <w:pPr>
            <w:rPr>
              <w:rFonts w:ascii="Century Gothic" w:hAnsi="Century Gothic"/>
            </w:rPr>
          </w:pPr>
        </w:p>
        <w:p w:rsidR="00CE4274" w:rsidRPr="00537C42" w:rsidRDefault="004925A0" w:rsidP="00CE4274">
          <w:pPr>
            <w:rPr>
              <w:rFonts w:ascii="Century Gothic" w:hAnsi="Century Gothic"/>
            </w:rPr>
          </w:pPr>
          <w:r w:rsidRPr="00537C42">
            <w:rPr>
              <w:rFonts w:ascii="Century Gothic" w:hAnsi="Century Gothic"/>
            </w:rPr>
            <w:t>Locator maps are attached.</w:t>
          </w:r>
          <w:r w:rsidR="00DC3B94" w:rsidRPr="00537C42">
            <w:rPr>
              <w:rFonts w:ascii="Century Gothic" w:hAnsi="Century Gothic"/>
            </w:rPr>
            <w:t xml:space="preserve"> </w:t>
          </w:r>
        </w:p>
      </w:sdtContent>
    </w:sdt>
    <w:p w:rsidR="002773F7" w:rsidRDefault="00D44CD9" w:rsidP="004925A0">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4EB15DF" wp14:editId="39B2D89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E760F" w:rsidRPr="00791D82" w:rsidRDefault="009E760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Content>
          <w:r w:rsidR="00575F88" w:rsidRPr="00575F88">
            <w:rPr>
              <w:rFonts w:ascii="Century Gothic" w:hAnsi="Century Gothic"/>
            </w:rPr>
            <w:t>None anticipated within the next two years.  Public infrastructure extension/expansion would be at the cost of the developer.</w:t>
          </w:r>
        </w:sdtContent>
      </w:sdt>
    </w:p>
    <w:p w:rsidR="00EB1CCB" w:rsidRDefault="00EB1CC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Content>
          <w:r w:rsidR="00575F88">
            <w:rPr>
              <w:rFonts w:ascii="Century Gothic" w:hAnsi="Century Gothic"/>
            </w:rPr>
            <w:t>Public sewer</w:t>
          </w:r>
          <w:r w:rsidR="00575F88" w:rsidRPr="00575F88">
            <w:rPr>
              <w:rFonts w:ascii="Century Gothic" w:hAnsi="Century Gothic"/>
            </w:rPr>
            <w:t xml:space="preserve"> maintenance</w:t>
          </w:r>
          <w:r w:rsidR="00575F88">
            <w:rPr>
              <w:rFonts w:ascii="Century Gothic" w:hAnsi="Century Gothic"/>
            </w:rPr>
            <w:t>,</w:t>
          </w:r>
          <w:r w:rsidR="00575F88" w:rsidRPr="00575F88">
            <w:rPr>
              <w:rFonts w:ascii="Century Gothic" w:hAnsi="Century Gothic"/>
            </w:rPr>
            <w:t xml:space="preserve"> </w:t>
          </w:r>
          <w:r w:rsidR="00575F88">
            <w:rPr>
              <w:rFonts w:ascii="Century Gothic" w:hAnsi="Century Gothic"/>
            </w:rPr>
            <w:t>a</w:t>
          </w:r>
          <w:r w:rsidR="00575F88" w:rsidRPr="00575F88">
            <w:rPr>
              <w:rFonts w:ascii="Century Gothic" w:hAnsi="Century Gothic"/>
            </w:rPr>
            <w:t>s well as public safety and solid waste service provision.  Future impacts may b</w:t>
          </w:r>
          <w:r w:rsidR="00575F88">
            <w:rPr>
              <w:rFonts w:ascii="Century Gothic" w:hAnsi="Century Gothic"/>
            </w:rPr>
            <w:t>e offset by increased user fees and</w:t>
          </w:r>
          <w:r w:rsidR="00575F88" w:rsidRPr="00575F88">
            <w:rPr>
              <w:rFonts w:ascii="Century Gothic" w:hAnsi="Century Gothic"/>
            </w:rPr>
            <w:t xml:space="preserve"> property tax collections</w:t>
          </w:r>
          <w:r w:rsidR="00575F88">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E760F" w:rsidRPr="00791D82" w:rsidRDefault="009E760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9E760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C688B">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E760F">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E760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C688B">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E760F">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E760F">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E760F" w:rsidRPr="00791D82" w:rsidRDefault="009E760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314BCD" w:rsidRPr="00314BCD" w:rsidTr="004C26F6">
        <w:tc>
          <w:tcPr>
            <w:tcW w:w="2790" w:type="dxa"/>
            <w:shd w:val="clear" w:color="auto" w:fill="auto"/>
          </w:tcPr>
          <w:p w:rsidR="007E73B1" w:rsidRPr="00314BCD" w:rsidRDefault="00E23D51" w:rsidP="007E73B1">
            <w:pPr>
              <w:rPr>
                <w:rFonts w:ascii="Century Gothic" w:hAnsi="Century Gothic"/>
              </w:rPr>
            </w:pPr>
            <w:r>
              <w:rPr>
                <w:rFonts w:ascii="Century Gothic" w:hAnsi="Century Gothic"/>
              </w:rPr>
              <w:t>12/18</w:t>
            </w:r>
            <w:r w:rsidR="00314BCD">
              <w:rPr>
                <w:rFonts w:ascii="Century Gothic" w:hAnsi="Century Gothic"/>
              </w:rPr>
              <w:t>/17</w:t>
            </w:r>
          </w:p>
        </w:tc>
        <w:tc>
          <w:tcPr>
            <w:tcW w:w="7830" w:type="dxa"/>
            <w:shd w:val="clear" w:color="auto" w:fill="auto"/>
          </w:tcPr>
          <w:p w:rsidR="007E73B1" w:rsidRPr="00314BCD" w:rsidRDefault="00314BCD" w:rsidP="00E23D51">
            <w:pPr>
              <w:rPr>
                <w:rFonts w:ascii="Century Gothic" w:hAnsi="Century Gothic"/>
              </w:rPr>
            </w:pPr>
            <w:r>
              <w:rPr>
                <w:rFonts w:ascii="Century Gothic" w:hAnsi="Century Gothic"/>
              </w:rPr>
              <w:t xml:space="preserve">Set public hearing on annexation </w:t>
            </w:r>
            <w:r w:rsidR="00BC2739">
              <w:rPr>
                <w:rFonts w:ascii="Century Gothic" w:hAnsi="Century Gothic"/>
              </w:rPr>
              <w:t>(R174-17)</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E760F" w:rsidRPr="00791D82" w:rsidRDefault="009E760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Content>
        <w:sdt>
          <w:sdtPr>
            <w:rPr>
              <w:rFonts w:ascii="Century Gothic" w:hAnsi="Century Gothic"/>
            </w:rPr>
            <w:id w:val="907269043"/>
          </w:sdtPr>
          <w:sdtContent>
            <w:sdt>
              <w:sdtPr>
                <w:rPr>
                  <w:rFonts w:ascii="Century Gothic" w:hAnsi="Century Gothic"/>
                </w:rPr>
                <w:id w:val="2058966821"/>
              </w:sdtPr>
              <w:sdtContent>
                <w:sdt>
                  <w:sdtPr>
                    <w:rPr>
                      <w:rFonts w:ascii="Century Gothic" w:hAnsi="Century Gothic"/>
                    </w:rPr>
                    <w:id w:val="-2110568377"/>
                  </w:sdtPr>
                  <w:sdtContent>
                    <w:sdt>
                      <w:sdtPr>
                        <w:rPr>
                          <w:rFonts w:ascii="Century Gothic" w:hAnsi="Century Gothic"/>
                        </w:rPr>
                        <w:id w:val="257108223"/>
                      </w:sdtPr>
                      <w:sdtContent>
                        <w:p w:rsidR="00C379A1" w:rsidRPr="00974B88" w:rsidRDefault="00314BCD" w:rsidP="00C379A1">
                          <w:pPr>
                            <w:tabs>
                              <w:tab w:val="left" w:pos="4530"/>
                            </w:tabs>
                            <w:rPr>
                              <w:rFonts w:ascii="Century Gothic" w:hAnsi="Century Gothic"/>
                            </w:rPr>
                          </w:pPr>
                          <w:r w:rsidRPr="00314BCD">
                            <w:rPr>
                              <w:rFonts w:ascii="Century Gothic" w:hAnsi="Century Gothic"/>
                            </w:rPr>
                            <w:t>Hold the public hearing for the annexation as required by State Statute.</w:t>
                          </w:r>
                        </w:p>
                      </w:sdtContent>
                    </w:sdt>
                  </w:sdtContent>
                </w:sdt>
              </w:sdtContent>
            </w:sdt>
          </w:sdtContent>
        </w:sd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0F" w:rsidRDefault="009E760F" w:rsidP="004A4C2D">
      <w:r>
        <w:separator/>
      </w:r>
    </w:p>
  </w:endnote>
  <w:endnote w:type="continuationSeparator" w:id="0">
    <w:p w:rsidR="009E760F" w:rsidRDefault="009E760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0F" w:rsidRDefault="009E760F" w:rsidP="004A4C2D">
      <w:r>
        <w:separator/>
      </w:r>
    </w:p>
  </w:footnote>
  <w:footnote w:type="continuationSeparator" w:id="0">
    <w:p w:rsidR="009E760F" w:rsidRDefault="009E760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0F" w:rsidRPr="00FA2BBC" w:rsidRDefault="009E760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E760F" w:rsidRPr="00FA2BBC" w:rsidRDefault="009E760F" w:rsidP="002773F7">
    <w:pPr>
      <w:pStyle w:val="Header"/>
      <w:ind w:left="1080"/>
      <w:jc w:val="right"/>
      <w:rPr>
        <w:rFonts w:ascii="Century Gothic" w:hAnsi="Century Gothic"/>
      </w:rPr>
    </w:pPr>
    <w:r w:rsidRPr="00FA2BBC">
      <w:rPr>
        <w:rFonts w:ascii="Century Gothic" w:hAnsi="Century Gothic"/>
      </w:rPr>
      <w:t>701 East Broadway, Columbia, Missouri 65201</w:t>
    </w:r>
  </w:p>
  <w:p w:rsidR="009E760F" w:rsidRDefault="009E7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74B8"/>
    <w:rsid w:val="000476B6"/>
    <w:rsid w:val="000564F4"/>
    <w:rsid w:val="00081116"/>
    <w:rsid w:val="00092AD1"/>
    <w:rsid w:val="000E2AA6"/>
    <w:rsid w:val="000E37AB"/>
    <w:rsid w:val="000E3DAB"/>
    <w:rsid w:val="0011191B"/>
    <w:rsid w:val="00160464"/>
    <w:rsid w:val="001B0AEA"/>
    <w:rsid w:val="001C688B"/>
    <w:rsid w:val="001E142A"/>
    <w:rsid w:val="001F1288"/>
    <w:rsid w:val="002773F7"/>
    <w:rsid w:val="0029093A"/>
    <w:rsid w:val="002C289E"/>
    <w:rsid w:val="002D380E"/>
    <w:rsid w:val="002F3061"/>
    <w:rsid w:val="00314BCD"/>
    <w:rsid w:val="00340994"/>
    <w:rsid w:val="00344C59"/>
    <w:rsid w:val="00381A9D"/>
    <w:rsid w:val="003C57DC"/>
    <w:rsid w:val="003F169E"/>
    <w:rsid w:val="0041404F"/>
    <w:rsid w:val="00480AED"/>
    <w:rsid w:val="0048496D"/>
    <w:rsid w:val="004925A0"/>
    <w:rsid w:val="004A4C2D"/>
    <w:rsid w:val="004A51CB"/>
    <w:rsid w:val="004C26F6"/>
    <w:rsid w:val="004C2DE4"/>
    <w:rsid w:val="004F48BF"/>
    <w:rsid w:val="00537C42"/>
    <w:rsid w:val="00572FBB"/>
    <w:rsid w:val="00575F88"/>
    <w:rsid w:val="005831E4"/>
    <w:rsid w:val="00591DC5"/>
    <w:rsid w:val="005B3871"/>
    <w:rsid w:val="005F6088"/>
    <w:rsid w:val="00622A20"/>
    <w:rsid w:val="00625FCB"/>
    <w:rsid w:val="00646D99"/>
    <w:rsid w:val="006D6E9E"/>
    <w:rsid w:val="006F185A"/>
    <w:rsid w:val="00791D82"/>
    <w:rsid w:val="007E73B1"/>
    <w:rsid w:val="008078EB"/>
    <w:rsid w:val="0082693C"/>
    <w:rsid w:val="008372DA"/>
    <w:rsid w:val="00852DF7"/>
    <w:rsid w:val="00865EEE"/>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E760F"/>
    <w:rsid w:val="00A37B59"/>
    <w:rsid w:val="00A67E22"/>
    <w:rsid w:val="00A85777"/>
    <w:rsid w:val="00AC447D"/>
    <w:rsid w:val="00B158FC"/>
    <w:rsid w:val="00B54FB9"/>
    <w:rsid w:val="00B62049"/>
    <w:rsid w:val="00B972D7"/>
    <w:rsid w:val="00BA374B"/>
    <w:rsid w:val="00BC2739"/>
    <w:rsid w:val="00BD7739"/>
    <w:rsid w:val="00BE10D5"/>
    <w:rsid w:val="00BE5FE4"/>
    <w:rsid w:val="00C22B08"/>
    <w:rsid w:val="00C26D7E"/>
    <w:rsid w:val="00C34BE7"/>
    <w:rsid w:val="00C379A1"/>
    <w:rsid w:val="00C4744A"/>
    <w:rsid w:val="00C651B5"/>
    <w:rsid w:val="00C93741"/>
    <w:rsid w:val="00CE4274"/>
    <w:rsid w:val="00D046B2"/>
    <w:rsid w:val="00D102C6"/>
    <w:rsid w:val="00D17D6D"/>
    <w:rsid w:val="00D44CD9"/>
    <w:rsid w:val="00D50BA3"/>
    <w:rsid w:val="00D85A25"/>
    <w:rsid w:val="00D86CE1"/>
    <w:rsid w:val="00DC18D1"/>
    <w:rsid w:val="00DC3B94"/>
    <w:rsid w:val="00DE2810"/>
    <w:rsid w:val="00DF4837"/>
    <w:rsid w:val="00E21F4E"/>
    <w:rsid w:val="00E23D51"/>
    <w:rsid w:val="00E518F5"/>
    <w:rsid w:val="00E52526"/>
    <w:rsid w:val="00E74D19"/>
    <w:rsid w:val="00EB1A02"/>
    <w:rsid w:val="00EB1CCB"/>
    <w:rsid w:val="00EC2404"/>
    <w:rsid w:val="00ED1548"/>
    <w:rsid w:val="00EE317A"/>
    <w:rsid w:val="00EE739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4346A16BB231497F995DFC1EC73443E2"/>
        <w:category>
          <w:name w:val="General"/>
          <w:gallery w:val="placeholder"/>
        </w:category>
        <w:types>
          <w:type w:val="bbPlcHdr"/>
        </w:types>
        <w:behaviors>
          <w:behavior w:val="content"/>
        </w:behaviors>
        <w:guid w:val="{D2B11426-2FC4-4B68-889C-FD067CD74CAB}"/>
      </w:docPartPr>
      <w:docPartBody>
        <w:p w:rsidR="00E51D9C" w:rsidRDefault="00332E56" w:rsidP="00332E56">
          <w:pPr>
            <w:pStyle w:val="4346A16BB231497F995DFC1EC73443E2"/>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32E56"/>
    <w:rsid w:val="003C79DA"/>
    <w:rsid w:val="00412C43"/>
    <w:rsid w:val="0043257E"/>
    <w:rsid w:val="004A700B"/>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51D9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32E5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4346A16BB231497F995DFC1EC73443E2">
    <w:name w:val="4346A16BB231497F995DFC1EC73443E2"/>
    <w:rsid w:val="00332E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32E5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4346A16BB231497F995DFC1EC73443E2">
    <w:name w:val="4346A16BB231497F995DFC1EC73443E2"/>
    <w:rsid w:val="00332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AA1D-2DF0-4387-8CEE-00669DD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613</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5</cp:revision>
  <cp:lastPrinted>2013-11-01T14:38:00Z</cp:lastPrinted>
  <dcterms:created xsi:type="dcterms:W3CDTF">2017-12-13T15:24:00Z</dcterms:created>
  <dcterms:modified xsi:type="dcterms:W3CDTF">2017-12-18T16:41:00Z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