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1BE3" w:rsidRDefault="003260FE">
      <w:pPr>
        <w:tabs>
          <w:tab w:val="center" w:pos="5220"/>
        </w:tabs>
        <w:jc w:val="center"/>
        <w:rPr>
          <w:b/>
          <w:sz w:val="22"/>
          <w:szCs w:val="22"/>
        </w:rPr>
      </w:pPr>
      <w:r>
        <w:rPr>
          <w:b/>
          <w:sz w:val="22"/>
          <w:szCs w:val="22"/>
        </w:rPr>
        <w:t>AGENDA REPORT</w:t>
      </w:r>
    </w:p>
    <w:p w:rsidR="009F1BE3" w:rsidRDefault="003260FE">
      <w:pPr>
        <w:tabs>
          <w:tab w:val="center" w:pos="5220"/>
        </w:tabs>
        <w:jc w:val="center"/>
        <w:rPr>
          <w:b/>
          <w:sz w:val="22"/>
          <w:szCs w:val="22"/>
        </w:rPr>
      </w:pPr>
      <w:r>
        <w:rPr>
          <w:b/>
          <w:sz w:val="22"/>
          <w:szCs w:val="22"/>
        </w:rPr>
        <w:t>PLANNING AND ZONING COMMISSION MEETING</w:t>
      </w:r>
    </w:p>
    <w:p w:rsidR="009F1BE3" w:rsidRDefault="003260FE">
      <w:pPr>
        <w:tabs>
          <w:tab w:val="center" w:pos="5220"/>
        </w:tabs>
        <w:jc w:val="center"/>
        <w:rPr>
          <w:b/>
          <w:sz w:val="22"/>
          <w:szCs w:val="22"/>
        </w:rPr>
      </w:pPr>
      <w:r>
        <w:rPr>
          <w:b/>
          <w:sz w:val="22"/>
          <w:szCs w:val="22"/>
        </w:rPr>
        <w:t>May 18, 2017</w:t>
      </w:r>
    </w:p>
    <w:p w:rsidR="009F1BE3" w:rsidRDefault="009F1BE3">
      <w:pPr>
        <w:rPr>
          <w:sz w:val="22"/>
          <w:szCs w:val="22"/>
        </w:rPr>
      </w:pPr>
    </w:p>
    <w:p w:rsidR="009F1BE3" w:rsidRDefault="003260FE">
      <w:pPr>
        <w:rPr>
          <w:color w:val="222222"/>
          <w:sz w:val="22"/>
          <w:szCs w:val="22"/>
          <w:highlight w:val="white"/>
        </w:rPr>
      </w:pPr>
      <w:r>
        <w:rPr>
          <w:b/>
          <w:sz w:val="22"/>
          <w:szCs w:val="22"/>
          <w:u w:val="single"/>
        </w:rPr>
        <w:t>SUMMARY</w:t>
      </w:r>
    </w:p>
    <w:p w:rsidR="00C61427" w:rsidRDefault="00C61427">
      <w:pPr>
        <w:widowControl w:val="0"/>
        <w:tabs>
          <w:tab w:val="left" w:pos="-1440"/>
        </w:tabs>
        <w:rPr>
          <w:color w:val="222222"/>
          <w:sz w:val="22"/>
          <w:szCs w:val="22"/>
          <w:highlight w:val="white"/>
        </w:rPr>
      </w:pPr>
    </w:p>
    <w:p w:rsidR="009F1BE3" w:rsidRDefault="003260FE">
      <w:pPr>
        <w:widowControl w:val="0"/>
        <w:tabs>
          <w:tab w:val="left" w:pos="-1440"/>
        </w:tabs>
        <w:rPr>
          <w:color w:val="222222"/>
          <w:sz w:val="22"/>
          <w:szCs w:val="22"/>
          <w:highlight w:val="white"/>
        </w:rPr>
      </w:pPr>
      <w:r>
        <w:rPr>
          <w:color w:val="222222"/>
          <w:sz w:val="22"/>
          <w:szCs w:val="22"/>
          <w:highlight w:val="white"/>
        </w:rPr>
        <w:t>A request by Columbia Civil Engineering Group (agent) on behalf of The Residences at Old Hawthorne, LLC (owner) for approval of a major amendment to the Residences at Old Hawthorne PD development plan to waive sidewalk construction.  The 8.2-acre subject site is located along Residence Drive (private), east of Old Hawthorne Drive West.  (</w:t>
      </w:r>
      <w:r>
        <w:rPr>
          <w:b/>
          <w:color w:val="222222"/>
          <w:sz w:val="22"/>
          <w:szCs w:val="22"/>
          <w:highlight w:val="white"/>
        </w:rPr>
        <w:t>Case #17-113</w:t>
      </w:r>
      <w:r>
        <w:rPr>
          <w:color w:val="222222"/>
          <w:sz w:val="22"/>
          <w:szCs w:val="22"/>
          <w:highlight w:val="white"/>
        </w:rPr>
        <w:t>)</w:t>
      </w:r>
    </w:p>
    <w:p w:rsidR="009F1BE3" w:rsidRDefault="009F1BE3">
      <w:pPr>
        <w:widowControl w:val="0"/>
        <w:tabs>
          <w:tab w:val="left" w:pos="-1440"/>
        </w:tabs>
        <w:rPr>
          <w:sz w:val="22"/>
          <w:szCs w:val="22"/>
        </w:rPr>
      </w:pPr>
    </w:p>
    <w:p w:rsidR="009F1BE3" w:rsidRDefault="003260FE">
      <w:pPr>
        <w:rPr>
          <w:b/>
          <w:sz w:val="22"/>
          <w:szCs w:val="22"/>
          <w:u w:val="single"/>
        </w:rPr>
      </w:pPr>
      <w:r>
        <w:rPr>
          <w:b/>
          <w:sz w:val="22"/>
          <w:szCs w:val="22"/>
          <w:u w:val="single"/>
        </w:rPr>
        <w:t>DISCUSSION</w:t>
      </w:r>
    </w:p>
    <w:p w:rsidR="009F1BE3" w:rsidRDefault="009F1BE3">
      <w:pPr>
        <w:rPr>
          <w:sz w:val="22"/>
          <w:szCs w:val="22"/>
        </w:rPr>
      </w:pPr>
    </w:p>
    <w:p w:rsidR="009F1BE3" w:rsidRDefault="003260FE">
      <w:pPr>
        <w:rPr>
          <w:sz w:val="22"/>
          <w:szCs w:val="22"/>
        </w:rPr>
      </w:pPr>
      <w:r>
        <w:rPr>
          <w:sz w:val="22"/>
          <w:szCs w:val="22"/>
        </w:rPr>
        <w:t xml:space="preserve">The applicant is requesting approval to waive construction of all </w:t>
      </w:r>
      <w:proofErr w:type="gramStart"/>
      <w:r>
        <w:rPr>
          <w:sz w:val="22"/>
          <w:szCs w:val="22"/>
        </w:rPr>
        <w:t>sidewalk</w:t>
      </w:r>
      <w:proofErr w:type="gramEnd"/>
      <w:r>
        <w:rPr>
          <w:sz w:val="22"/>
          <w:szCs w:val="22"/>
        </w:rPr>
        <w:t xml:space="preserve"> within this PUD development.  The request is based on two conditions noted by the applicant - the lack of sidewalk connectivity and the future location of the sidewalks in the front yards of the individual residential lots.</w:t>
      </w:r>
    </w:p>
    <w:p w:rsidR="009F1BE3" w:rsidRDefault="009F1BE3">
      <w:pPr>
        <w:rPr>
          <w:sz w:val="22"/>
          <w:szCs w:val="22"/>
        </w:rPr>
      </w:pPr>
    </w:p>
    <w:p w:rsidR="009F1BE3" w:rsidRDefault="003260FE">
      <w:pPr>
        <w:rPr>
          <w:sz w:val="22"/>
          <w:szCs w:val="22"/>
        </w:rPr>
      </w:pPr>
      <w:r>
        <w:rPr>
          <w:sz w:val="22"/>
          <w:szCs w:val="22"/>
        </w:rPr>
        <w:t xml:space="preserve">The PUD plan was originally approved in 2013 and includes 44 attached single-family housing units along a private street.  Internal sidewalks were shown on the approved PUD plan per the PUD standards to provide pedestrian circulation, but did not provide connection outside of the development since the adjacent property was not owned by the applicant and the development did not </w:t>
      </w:r>
      <w:proofErr w:type="spellStart"/>
      <w:r>
        <w:rPr>
          <w:sz w:val="22"/>
          <w:szCs w:val="22"/>
        </w:rPr>
        <w:t>abut</w:t>
      </w:r>
      <w:proofErr w:type="spellEnd"/>
      <w:r>
        <w:rPr>
          <w:sz w:val="22"/>
          <w:szCs w:val="22"/>
        </w:rPr>
        <w:t xml:space="preserve"> a public right-of-way.</w:t>
      </w:r>
    </w:p>
    <w:p w:rsidR="009F1BE3" w:rsidRDefault="009F1BE3">
      <w:pPr>
        <w:rPr>
          <w:sz w:val="22"/>
          <w:szCs w:val="22"/>
        </w:rPr>
      </w:pPr>
    </w:p>
    <w:p w:rsidR="009F1BE3" w:rsidRDefault="003260FE">
      <w:pPr>
        <w:rPr>
          <w:sz w:val="22"/>
          <w:szCs w:val="22"/>
        </w:rPr>
      </w:pPr>
      <w:r>
        <w:rPr>
          <w:sz w:val="22"/>
          <w:szCs w:val="22"/>
        </w:rPr>
        <w:t xml:space="preserve">In efforts to increase connectivity to adjacent amenities, staff requested that the internal sidewalks be extended to the edge of the property and then to the Old Hawthorne clubhouse.  The applicant declined to accommodate the request citing the separate ownership of the tracts involved and limited land area to place a sidewalk along the south side of the subject site.  Since obtaining PUD plan approval no sidewalks have been installed within the PUD or within the surrounding area.  </w:t>
      </w:r>
    </w:p>
    <w:p w:rsidR="009F1BE3" w:rsidRDefault="009F1BE3">
      <w:pPr>
        <w:rPr>
          <w:sz w:val="22"/>
          <w:szCs w:val="22"/>
        </w:rPr>
      </w:pPr>
    </w:p>
    <w:p w:rsidR="009F1BE3" w:rsidRDefault="003260FE">
      <w:pPr>
        <w:rPr>
          <w:sz w:val="22"/>
          <w:szCs w:val="22"/>
        </w:rPr>
      </w:pPr>
      <w:r>
        <w:rPr>
          <w:sz w:val="22"/>
          <w:szCs w:val="22"/>
        </w:rPr>
        <w:t xml:space="preserve">The applicant’s second reason for this request is based upon the future location of sidewalks in the front yards of each individual unit.  This location was permitted since the street within the PUD is private.  Private streets must include, generally, the same pedestrian improvements as public streets.  However, a primary difference between public and private streets is that a private street does not have to be within a dedicated right of way.  As a result, measurement of building setbacks and the placement of pedestrian improvements is unclear and generally left to the discretion of the applicant. </w:t>
      </w:r>
    </w:p>
    <w:p w:rsidR="009F1BE3" w:rsidRDefault="009F1BE3">
      <w:pPr>
        <w:rPr>
          <w:sz w:val="22"/>
          <w:szCs w:val="22"/>
        </w:rPr>
      </w:pPr>
    </w:p>
    <w:p w:rsidR="009F1BE3" w:rsidRDefault="003260FE">
      <w:pPr>
        <w:rPr>
          <w:sz w:val="22"/>
          <w:szCs w:val="22"/>
        </w:rPr>
      </w:pPr>
      <w:r>
        <w:rPr>
          <w:sz w:val="22"/>
          <w:szCs w:val="22"/>
        </w:rPr>
        <w:t xml:space="preserve">Typically a public street sidewalk is located in the right of way and the setback for building construction is behind the right of way line thereby eliminating any potential conflict between building placement and sidewalk location. In this development, however; the building setback was measured from the back of the private street curb resulting in the sidewalk being located within the front yard setback of each lot.  </w:t>
      </w:r>
    </w:p>
    <w:p w:rsidR="009F1BE3" w:rsidRDefault="009F1BE3">
      <w:pPr>
        <w:rPr>
          <w:sz w:val="22"/>
          <w:szCs w:val="22"/>
        </w:rPr>
      </w:pPr>
    </w:p>
    <w:p w:rsidR="009F1BE3" w:rsidRDefault="003260FE">
      <w:pPr>
        <w:rPr>
          <w:sz w:val="22"/>
          <w:szCs w:val="22"/>
        </w:rPr>
      </w:pPr>
      <w:r>
        <w:rPr>
          <w:sz w:val="22"/>
          <w:szCs w:val="22"/>
        </w:rPr>
        <w:t>If the sidewalks are installed per the approved plan many could be closer than 20 feet to the front of each individual home. Furthermore, if the distance between the house and sidewalk is not sufficient to accommodate a parked car in the driveway then the parked vehicle may block the sidewalk creating an impediment for pedestrians.</w:t>
      </w:r>
    </w:p>
    <w:p w:rsidR="009F1BE3" w:rsidRDefault="009F1BE3">
      <w:pPr>
        <w:widowControl w:val="0"/>
        <w:tabs>
          <w:tab w:val="left" w:pos="-1440"/>
        </w:tabs>
        <w:rPr>
          <w:sz w:val="22"/>
          <w:szCs w:val="22"/>
        </w:rPr>
      </w:pPr>
    </w:p>
    <w:p w:rsidR="009F1BE3" w:rsidRDefault="003260FE">
      <w:pPr>
        <w:widowControl w:val="0"/>
        <w:tabs>
          <w:tab w:val="left" w:pos="-1440"/>
        </w:tabs>
        <w:rPr>
          <w:sz w:val="22"/>
          <w:szCs w:val="22"/>
        </w:rPr>
      </w:pPr>
      <w:r>
        <w:rPr>
          <w:sz w:val="22"/>
          <w:szCs w:val="22"/>
        </w:rPr>
        <w:t xml:space="preserve">Staff evaluated several regulatory alternatives in attempts to avoid the requested variance.  It considered when sidewalks are not required and evaluated the Council Policy regarding sidewalks along unimproved streets.  Unfortunately neither exception would be applicable. Sidewalks are not </w:t>
      </w:r>
      <w:r>
        <w:rPr>
          <w:sz w:val="22"/>
          <w:szCs w:val="22"/>
        </w:rPr>
        <w:lastRenderedPageBreak/>
        <w:t xml:space="preserve">required along streets less than 250-feet in length, however; the subject street is approximately 800 feet long.  And while the Council Policy (see attached) allows a fee in lieu of construction to be paid it doesn’t allow public sidewalks to be installed along private streets.  </w:t>
      </w:r>
    </w:p>
    <w:p w:rsidR="009F1BE3" w:rsidRDefault="009F1BE3">
      <w:pPr>
        <w:widowControl w:val="0"/>
        <w:tabs>
          <w:tab w:val="left" w:pos="-1440"/>
        </w:tabs>
        <w:rPr>
          <w:sz w:val="22"/>
          <w:szCs w:val="22"/>
        </w:rPr>
      </w:pPr>
    </w:p>
    <w:p w:rsidR="009F1BE3" w:rsidRDefault="003260FE">
      <w:pPr>
        <w:widowControl w:val="0"/>
        <w:tabs>
          <w:tab w:val="left" w:pos="-1440"/>
        </w:tabs>
        <w:rPr>
          <w:sz w:val="22"/>
          <w:szCs w:val="22"/>
        </w:rPr>
      </w:pPr>
      <w:r>
        <w:rPr>
          <w:sz w:val="22"/>
          <w:szCs w:val="22"/>
        </w:rPr>
        <w:t xml:space="preserve">Several additional alternatives were considered that included 1) moving the sidewalk to the back of the private street curb, 2) requiring the fee in lieu payment and having it applied to other City improvements within the Old Hawthorne development, and 3) requiring that the connection to the Old Hawthorne clubhouse be made.  </w:t>
      </w:r>
    </w:p>
    <w:p w:rsidR="009F1BE3" w:rsidRDefault="009F1BE3">
      <w:pPr>
        <w:widowControl w:val="0"/>
        <w:tabs>
          <w:tab w:val="left" w:pos="-1440"/>
        </w:tabs>
        <w:rPr>
          <w:sz w:val="22"/>
          <w:szCs w:val="22"/>
        </w:rPr>
      </w:pPr>
    </w:p>
    <w:p w:rsidR="009F1BE3" w:rsidRDefault="003260FE">
      <w:pPr>
        <w:widowControl w:val="0"/>
        <w:tabs>
          <w:tab w:val="left" w:pos="-1440"/>
        </w:tabs>
        <w:rPr>
          <w:sz w:val="22"/>
          <w:szCs w:val="22"/>
        </w:rPr>
      </w:pPr>
      <w:r>
        <w:rPr>
          <w:sz w:val="22"/>
          <w:szCs w:val="22"/>
        </w:rPr>
        <w:t xml:space="preserve">After additional evaluation it was concluded that 1) construction and ADA compliance challenges would be encounter with moving the sidewalk to the curb of the private street and the issue of sidewalk blockage would not be resolved, 2) there were no City projects within the Old Hawthorne development to which a fee payment could be applied, and 3) extension of the sidewalk to the Old Hawthorne clubhouse would require acquisition of private property to accommodate the sidewalk. </w:t>
      </w:r>
    </w:p>
    <w:p w:rsidR="009F1BE3" w:rsidRDefault="009F1BE3">
      <w:pPr>
        <w:widowControl w:val="0"/>
        <w:tabs>
          <w:tab w:val="left" w:pos="-1440"/>
        </w:tabs>
        <w:rPr>
          <w:sz w:val="22"/>
          <w:szCs w:val="22"/>
        </w:rPr>
      </w:pPr>
    </w:p>
    <w:p w:rsidR="009F1BE3" w:rsidRDefault="003260FE">
      <w:pPr>
        <w:widowControl w:val="0"/>
        <w:tabs>
          <w:tab w:val="left" w:pos="-1440"/>
        </w:tabs>
        <w:rPr>
          <w:sz w:val="22"/>
          <w:szCs w:val="22"/>
        </w:rPr>
      </w:pPr>
      <w:r>
        <w:rPr>
          <w:sz w:val="22"/>
          <w:szCs w:val="22"/>
        </w:rPr>
        <w:t xml:space="preserve">In regards to the circumstances that led to the sidewalk as shown on the original PUD plan, given current staff processes and the new UDC, it is unlikely that this scenario would be repeated. Staff now recommends that at least 18 feet of space is provided between the garage and the location of the sidewalk. Furthermore, requests for new planned district zoning require site plans to be approved with the rezoning of the property, which should allow staff to ensure that adequate access is provided for pedestrian facilities at the time that the zoning is requested, not after zoning entitlements are granted. </w:t>
      </w:r>
    </w:p>
    <w:p w:rsidR="009F1BE3" w:rsidRDefault="009F1BE3">
      <w:pPr>
        <w:widowControl w:val="0"/>
        <w:tabs>
          <w:tab w:val="left" w:pos="-1440"/>
        </w:tabs>
        <w:rPr>
          <w:sz w:val="22"/>
          <w:szCs w:val="22"/>
        </w:rPr>
      </w:pPr>
    </w:p>
    <w:p w:rsidR="009F1BE3" w:rsidRDefault="003260FE">
      <w:pPr>
        <w:widowControl w:val="0"/>
        <w:tabs>
          <w:tab w:val="left" w:pos="-1440"/>
        </w:tabs>
        <w:rPr>
          <w:color w:val="313335"/>
          <w:sz w:val="22"/>
          <w:szCs w:val="22"/>
          <w:highlight w:val="white"/>
        </w:rPr>
      </w:pPr>
      <w:r>
        <w:rPr>
          <w:sz w:val="22"/>
          <w:szCs w:val="22"/>
        </w:rPr>
        <w:t xml:space="preserve">Overall, given the conditions surrounding the sidewalk within this development, staff does not oppose waiving sidewalk construction. However the circumstances were avoidable, and steps have been taken to mitigate the conditions that are found on the site. </w:t>
      </w:r>
    </w:p>
    <w:p w:rsidR="009F1BE3" w:rsidRDefault="009F1BE3">
      <w:pPr>
        <w:widowControl w:val="0"/>
        <w:tabs>
          <w:tab w:val="left" w:pos="-1440"/>
        </w:tabs>
        <w:ind w:left="720" w:hanging="720"/>
        <w:rPr>
          <w:b/>
          <w:sz w:val="22"/>
          <w:szCs w:val="22"/>
          <w:u w:val="single"/>
        </w:rPr>
      </w:pPr>
      <w:bookmarkStart w:id="0" w:name="_e73jfoaxshaf" w:colFirst="0" w:colLast="0"/>
      <w:bookmarkEnd w:id="0"/>
    </w:p>
    <w:p w:rsidR="009F1BE3" w:rsidRDefault="003260FE">
      <w:pPr>
        <w:widowControl w:val="0"/>
        <w:tabs>
          <w:tab w:val="left" w:pos="-1440"/>
        </w:tabs>
        <w:ind w:left="720" w:hanging="720"/>
        <w:rPr>
          <w:b/>
          <w:sz w:val="22"/>
          <w:szCs w:val="22"/>
          <w:u w:val="single"/>
        </w:rPr>
      </w:pPr>
      <w:bookmarkStart w:id="1" w:name="_gjdgxs" w:colFirst="0" w:colLast="0"/>
      <w:bookmarkEnd w:id="1"/>
      <w:r>
        <w:rPr>
          <w:b/>
          <w:sz w:val="22"/>
          <w:szCs w:val="22"/>
          <w:u w:val="single"/>
        </w:rPr>
        <w:t>RECOMMENDATION</w:t>
      </w:r>
    </w:p>
    <w:p w:rsidR="009F1BE3" w:rsidRDefault="009F1BE3">
      <w:pPr>
        <w:widowControl w:val="0"/>
        <w:tabs>
          <w:tab w:val="left" w:pos="-1440"/>
        </w:tabs>
        <w:ind w:left="720" w:hanging="720"/>
        <w:rPr>
          <w:sz w:val="22"/>
          <w:szCs w:val="22"/>
        </w:rPr>
      </w:pPr>
    </w:p>
    <w:p w:rsidR="009F1BE3" w:rsidRDefault="003260FE">
      <w:pPr>
        <w:widowControl w:val="0"/>
        <w:tabs>
          <w:tab w:val="left" w:pos="-1440"/>
        </w:tabs>
        <w:rPr>
          <w:color w:val="FF0000"/>
          <w:sz w:val="22"/>
          <w:szCs w:val="22"/>
        </w:rPr>
      </w:pPr>
      <w:proofErr w:type="gramStart"/>
      <w:r>
        <w:rPr>
          <w:sz w:val="22"/>
          <w:szCs w:val="22"/>
        </w:rPr>
        <w:t>Approval of the major amendment to plat for “</w:t>
      </w:r>
      <w:r>
        <w:rPr>
          <w:color w:val="222222"/>
          <w:sz w:val="22"/>
          <w:szCs w:val="22"/>
          <w:highlight w:val="white"/>
        </w:rPr>
        <w:t>Residences at Old Hawthorne</w:t>
      </w:r>
      <w:r>
        <w:rPr>
          <w:sz w:val="22"/>
          <w:szCs w:val="22"/>
        </w:rPr>
        <w:t>” PD plan.</w:t>
      </w:r>
      <w:proofErr w:type="gramEnd"/>
      <w:r>
        <w:rPr>
          <w:sz w:val="22"/>
          <w:szCs w:val="22"/>
        </w:rPr>
        <w:t xml:space="preserve"> </w:t>
      </w:r>
    </w:p>
    <w:p w:rsidR="009F1BE3" w:rsidRDefault="009F1BE3">
      <w:pPr>
        <w:widowControl w:val="0"/>
        <w:tabs>
          <w:tab w:val="left" w:pos="-1440"/>
        </w:tabs>
        <w:ind w:left="720" w:hanging="720"/>
        <w:rPr>
          <w:b/>
          <w:sz w:val="22"/>
          <w:szCs w:val="22"/>
          <w:u w:val="single"/>
        </w:rPr>
      </w:pPr>
    </w:p>
    <w:p w:rsidR="009F1BE3" w:rsidRDefault="003260FE">
      <w:pPr>
        <w:widowControl w:val="0"/>
        <w:tabs>
          <w:tab w:val="left" w:pos="-1440"/>
        </w:tabs>
        <w:ind w:left="720" w:hanging="720"/>
        <w:rPr>
          <w:b/>
          <w:sz w:val="22"/>
          <w:szCs w:val="22"/>
          <w:u w:val="single"/>
        </w:rPr>
      </w:pPr>
      <w:r>
        <w:rPr>
          <w:b/>
          <w:sz w:val="22"/>
          <w:szCs w:val="22"/>
          <w:u w:val="single"/>
        </w:rPr>
        <w:t>SUPPORTING DOCUMENTS (ATTACHED)</w:t>
      </w:r>
    </w:p>
    <w:p w:rsidR="009F1BE3" w:rsidRDefault="009F1BE3">
      <w:pPr>
        <w:widowControl w:val="0"/>
        <w:tabs>
          <w:tab w:val="left" w:pos="-1440"/>
        </w:tabs>
        <w:ind w:left="720" w:hanging="720"/>
        <w:rPr>
          <w:sz w:val="22"/>
          <w:szCs w:val="22"/>
        </w:rPr>
      </w:pPr>
    </w:p>
    <w:p w:rsidR="009F1BE3" w:rsidRDefault="003260FE">
      <w:pPr>
        <w:widowControl w:val="0"/>
        <w:numPr>
          <w:ilvl w:val="0"/>
          <w:numId w:val="1"/>
        </w:numPr>
        <w:tabs>
          <w:tab w:val="left" w:pos="-1440"/>
        </w:tabs>
        <w:ind w:hanging="360"/>
        <w:rPr>
          <w:sz w:val="22"/>
          <w:szCs w:val="22"/>
        </w:rPr>
      </w:pPr>
      <w:r>
        <w:rPr>
          <w:sz w:val="22"/>
          <w:szCs w:val="22"/>
        </w:rPr>
        <w:t>Locator maps</w:t>
      </w:r>
    </w:p>
    <w:p w:rsidR="009F1BE3" w:rsidRDefault="003260FE">
      <w:pPr>
        <w:widowControl w:val="0"/>
        <w:numPr>
          <w:ilvl w:val="0"/>
          <w:numId w:val="1"/>
        </w:numPr>
        <w:tabs>
          <w:tab w:val="left" w:pos="-1440"/>
        </w:tabs>
        <w:ind w:hanging="360"/>
        <w:rPr>
          <w:sz w:val="22"/>
          <w:szCs w:val="22"/>
        </w:rPr>
      </w:pPr>
      <w:r>
        <w:rPr>
          <w:sz w:val="22"/>
          <w:szCs w:val="22"/>
        </w:rPr>
        <w:t>PD plan</w:t>
      </w:r>
    </w:p>
    <w:p w:rsidR="009F1BE3" w:rsidRDefault="003260FE" w:rsidP="00F679D5">
      <w:pPr>
        <w:widowControl w:val="0"/>
        <w:numPr>
          <w:ilvl w:val="0"/>
          <w:numId w:val="1"/>
        </w:numPr>
        <w:tabs>
          <w:tab w:val="left" w:pos="-1440"/>
        </w:tabs>
        <w:ind w:hanging="360"/>
        <w:contextualSpacing/>
        <w:rPr>
          <w:sz w:val="22"/>
          <w:szCs w:val="22"/>
        </w:rPr>
      </w:pPr>
      <w:r>
        <w:rPr>
          <w:sz w:val="22"/>
          <w:szCs w:val="22"/>
        </w:rPr>
        <w:t xml:space="preserve">Previously Approved - </w:t>
      </w:r>
      <w:r>
        <w:rPr>
          <w:color w:val="222222"/>
          <w:sz w:val="22"/>
          <w:szCs w:val="22"/>
          <w:highlight w:val="white"/>
        </w:rPr>
        <w:t>Residences at Old Hawthorne</w:t>
      </w:r>
      <w:r>
        <w:rPr>
          <w:sz w:val="22"/>
          <w:szCs w:val="22"/>
        </w:rPr>
        <w:t>” PD plan</w:t>
      </w:r>
    </w:p>
    <w:p w:rsidR="009F1BE3" w:rsidRDefault="009F1BE3">
      <w:pPr>
        <w:rPr>
          <w:b/>
          <w:sz w:val="22"/>
          <w:szCs w:val="22"/>
          <w:u w:val="single"/>
        </w:rPr>
      </w:pPr>
    </w:p>
    <w:p w:rsidR="00F679D5" w:rsidRDefault="00F679D5">
      <w:pPr>
        <w:rPr>
          <w:b/>
          <w:sz w:val="22"/>
          <w:szCs w:val="22"/>
          <w:u w:val="single"/>
        </w:rPr>
      </w:pPr>
    </w:p>
    <w:p w:rsidR="009F1BE3" w:rsidRDefault="003260FE">
      <w:pPr>
        <w:rPr>
          <w:b/>
          <w:sz w:val="22"/>
          <w:szCs w:val="22"/>
          <w:u w:val="single"/>
        </w:rPr>
      </w:pPr>
      <w:r>
        <w:rPr>
          <w:b/>
          <w:sz w:val="22"/>
          <w:szCs w:val="22"/>
          <w:u w:val="single"/>
        </w:rPr>
        <w:t>SITE CHARACTERISTICS</w:t>
      </w:r>
    </w:p>
    <w:p w:rsidR="009F1BE3" w:rsidRDefault="009F1BE3">
      <w:pPr>
        <w:rPr>
          <w:sz w:val="22"/>
          <w:szCs w:val="22"/>
        </w:rPr>
      </w:pPr>
    </w:p>
    <w:tbl>
      <w:tblPr>
        <w:tblStyle w:val="a"/>
        <w:tblW w:w="1020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6233"/>
      </w:tblGrid>
      <w:tr w:rsidR="003015A2" w:rsidRPr="003015A2">
        <w:tc>
          <w:tcPr>
            <w:tcW w:w="3968" w:type="dxa"/>
            <w:tcBorders>
              <w:top w:val="single" w:sz="4" w:space="0" w:color="000000"/>
              <w:left w:val="single" w:sz="4" w:space="0" w:color="000000"/>
              <w:bottom w:val="single" w:sz="4" w:space="0" w:color="000000"/>
              <w:right w:val="single" w:sz="4" w:space="0" w:color="000000"/>
            </w:tcBorders>
          </w:tcPr>
          <w:p w:rsidR="003015A2" w:rsidRPr="003015A2" w:rsidRDefault="003015A2" w:rsidP="00EB48F7">
            <w:pPr>
              <w:rPr>
                <w:sz w:val="22"/>
                <w:szCs w:val="22"/>
              </w:rPr>
            </w:pPr>
            <w:r w:rsidRPr="003015A2">
              <w:rPr>
                <w:sz w:val="22"/>
                <w:szCs w:val="22"/>
              </w:rPr>
              <w:t>Area (acres)</w:t>
            </w:r>
          </w:p>
        </w:tc>
        <w:tc>
          <w:tcPr>
            <w:tcW w:w="6233" w:type="dxa"/>
            <w:tcBorders>
              <w:top w:val="single" w:sz="4" w:space="0" w:color="000000"/>
              <w:left w:val="single" w:sz="4" w:space="0" w:color="000000"/>
              <w:bottom w:val="single" w:sz="4" w:space="0" w:color="000000"/>
              <w:right w:val="single" w:sz="4" w:space="0" w:color="000000"/>
            </w:tcBorders>
          </w:tcPr>
          <w:p w:rsidR="003015A2" w:rsidRPr="003015A2" w:rsidRDefault="003015A2" w:rsidP="00EB48F7">
            <w:pPr>
              <w:rPr>
                <w:sz w:val="22"/>
                <w:szCs w:val="22"/>
              </w:rPr>
            </w:pPr>
            <w:r w:rsidRPr="003015A2">
              <w:rPr>
                <w:sz w:val="22"/>
                <w:szCs w:val="22"/>
              </w:rPr>
              <w:t>8.2 acres</w:t>
            </w:r>
          </w:p>
        </w:tc>
      </w:tr>
      <w:tr w:rsidR="003015A2" w:rsidRPr="003015A2">
        <w:tc>
          <w:tcPr>
            <w:tcW w:w="3968" w:type="dxa"/>
            <w:tcBorders>
              <w:top w:val="single" w:sz="4" w:space="0" w:color="000000"/>
              <w:left w:val="single" w:sz="4" w:space="0" w:color="000000"/>
              <w:bottom w:val="single" w:sz="4" w:space="0" w:color="000000"/>
              <w:right w:val="single" w:sz="4" w:space="0" w:color="000000"/>
            </w:tcBorders>
          </w:tcPr>
          <w:p w:rsidR="003015A2" w:rsidRPr="003015A2" w:rsidRDefault="003015A2" w:rsidP="00EB48F7">
            <w:pPr>
              <w:rPr>
                <w:sz w:val="22"/>
                <w:szCs w:val="22"/>
              </w:rPr>
            </w:pPr>
            <w:r w:rsidRPr="003015A2">
              <w:rPr>
                <w:sz w:val="22"/>
                <w:szCs w:val="22"/>
              </w:rPr>
              <w:t>Topography</w:t>
            </w:r>
          </w:p>
        </w:tc>
        <w:tc>
          <w:tcPr>
            <w:tcW w:w="6233" w:type="dxa"/>
            <w:tcBorders>
              <w:top w:val="single" w:sz="4" w:space="0" w:color="000000"/>
              <w:left w:val="single" w:sz="4" w:space="0" w:color="000000"/>
              <w:bottom w:val="single" w:sz="4" w:space="0" w:color="000000"/>
              <w:right w:val="single" w:sz="4" w:space="0" w:color="000000"/>
            </w:tcBorders>
          </w:tcPr>
          <w:p w:rsidR="003015A2" w:rsidRPr="003015A2" w:rsidRDefault="003015A2" w:rsidP="00EB48F7">
            <w:pPr>
              <w:rPr>
                <w:sz w:val="22"/>
                <w:szCs w:val="22"/>
              </w:rPr>
            </w:pPr>
            <w:r w:rsidRPr="003015A2">
              <w:rPr>
                <w:sz w:val="22"/>
                <w:szCs w:val="22"/>
              </w:rPr>
              <w:t>50 feet of elevation loss, south to north</w:t>
            </w:r>
          </w:p>
        </w:tc>
      </w:tr>
      <w:tr w:rsidR="003015A2" w:rsidRPr="003015A2">
        <w:tc>
          <w:tcPr>
            <w:tcW w:w="3968" w:type="dxa"/>
            <w:tcBorders>
              <w:top w:val="single" w:sz="4" w:space="0" w:color="000000"/>
              <w:left w:val="single" w:sz="4" w:space="0" w:color="000000"/>
              <w:bottom w:val="single" w:sz="4" w:space="0" w:color="000000"/>
              <w:right w:val="single" w:sz="4" w:space="0" w:color="000000"/>
            </w:tcBorders>
          </w:tcPr>
          <w:p w:rsidR="003015A2" w:rsidRPr="003015A2" w:rsidRDefault="003015A2" w:rsidP="00EB48F7">
            <w:pPr>
              <w:rPr>
                <w:sz w:val="22"/>
                <w:szCs w:val="22"/>
              </w:rPr>
            </w:pPr>
            <w:r w:rsidRPr="003015A2">
              <w:rPr>
                <w:sz w:val="22"/>
                <w:szCs w:val="22"/>
              </w:rPr>
              <w:t>Vegetation/Landscaping</w:t>
            </w:r>
          </w:p>
        </w:tc>
        <w:tc>
          <w:tcPr>
            <w:tcW w:w="6233" w:type="dxa"/>
            <w:tcBorders>
              <w:top w:val="single" w:sz="4" w:space="0" w:color="000000"/>
              <w:left w:val="single" w:sz="4" w:space="0" w:color="000000"/>
              <w:bottom w:val="single" w:sz="4" w:space="0" w:color="000000"/>
              <w:right w:val="single" w:sz="4" w:space="0" w:color="000000"/>
            </w:tcBorders>
          </w:tcPr>
          <w:p w:rsidR="003015A2" w:rsidRPr="003015A2" w:rsidRDefault="003015A2" w:rsidP="00EB48F7">
            <w:pPr>
              <w:rPr>
                <w:sz w:val="22"/>
                <w:szCs w:val="22"/>
              </w:rPr>
            </w:pPr>
            <w:r w:rsidRPr="003015A2">
              <w:rPr>
                <w:sz w:val="22"/>
                <w:szCs w:val="22"/>
              </w:rPr>
              <w:t>Hay fields and a few trees</w:t>
            </w:r>
          </w:p>
        </w:tc>
      </w:tr>
      <w:tr w:rsidR="003015A2" w:rsidRPr="003015A2">
        <w:tc>
          <w:tcPr>
            <w:tcW w:w="3968" w:type="dxa"/>
            <w:tcBorders>
              <w:top w:val="single" w:sz="4" w:space="0" w:color="000000"/>
              <w:left w:val="single" w:sz="4" w:space="0" w:color="000000"/>
              <w:bottom w:val="single" w:sz="4" w:space="0" w:color="000000"/>
              <w:right w:val="single" w:sz="4" w:space="0" w:color="000000"/>
            </w:tcBorders>
          </w:tcPr>
          <w:p w:rsidR="003015A2" w:rsidRPr="003015A2" w:rsidRDefault="003015A2" w:rsidP="00EB48F7">
            <w:pPr>
              <w:rPr>
                <w:sz w:val="22"/>
                <w:szCs w:val="22"/>
              </w:rPr>
            </w:pPr>
            <w:r w:rsidRPr="003015A2">
              <w:rPr>
                <w:sz w:val="22"/>
                <w:szCs w:val="22"/>
              </w:rPr>
              <w:t>Watershed/Drainage</w:t>
            </w:r>
          </w:p>
        </w:tc>
        <w:tc>
          <w:tcPr>
            <w:tcW w:w="6233" w:type="dxa"/>
            <w:tcBorders>
              <w:top w:val="single" w:sz="4" w:space="0" w:color="000000"/>
              <w:left w:val="single" w:sz="4" w:space="0" w:color="000000"/>
              <w:bottom w:val="single" w:sz="4" w:space="0" w:color="000000"/>
              <w:right w:val="single" w:sz="4" w:space="0" w:color="000000"/>
            </w:tcBorders>
          </w:tcPr>
          <w:p w:rsidR="003015A2" w:rsidRPr="003015A2" w:rsidRDefault="003015A2" w:rsidP="00EB48F7">
            <w:pPr>
              <w:rPr>
                <w:sz w:val="22"/>
                <w:szCs w:val="22"/>
              </w:rPr>
            </w:pPr>
            <w:r w:rsidRPr="003015A2">
              <w:rPr>
                <w:sz w:val="22"/>
                <w:szCs w:val="22"/>
              </w:rPr>
              <w:t>South Fork Grindstone Creek</w:t>
            </w:r>
          </w:p>
        </w:tc>
      </w:tr>
      <w:tr w:rsidR="003015A2" w:rsidRPr="003015A2">
        <w:tc>
          <w:tcPr>
            <w:tcW w:w="3968" w:type="dxa"/>
            <w:tcBorders>
              <w:top w:val="single" w:sz="4" w:space="0" w:color="000000"/>
              <w:left w:val="single" w:sz="4" w:space="0" w:color="000000"/>
              <w:bottom w:val="single" w:sz="4" w:space="0" w:color="000000"/>
              <w:right w:val="single" w:sz="4" w:space="0" w:color="000000"/>
            </w:tcBorders>
          </w:tcPr>
          <w:p w:rsidR="003015A2" w:rsidRPr="003015A2" w:rsidRDefault="003015A2" w:rsidP="00EB48F7">
            <w:pPr>
              <w:rPr>
                <w:sz w:val="22"/>
                <w:szCs w:val="22"/>
              </w:rPr>
            </w:pPr>
            <w:r w:rsidRPr="003015A2">
              <w:rPr>
                <w:sz w:val="22"/>
                <w:szCs w:val="22"/>
              </w:rPr>
              <w:t>Existing structures</w:t>
            </w:r>
          </w:p>
        </w:tc>
        <w:tc>
          <w:tcPr>
            <w:tcW w:w="6233" w:type="dxa"/>
            <w:tcBorders>
              <w:top w:val="single" w:sz="4" w:space="0" w:color="000000"/>
              <w:left w:val="single" w:sz="4" w:space="0" w:color="000000"/>
              <w:bottom w:val="single" w:sz="4" w:space="0" w:color="000000"/>
              <w:right w:val="single" w:sz="4" w:space="0" w:color="000000"/>
            </w:tcBorders>
          </w:tcPr>
          <w:p w:rsidR="003015A2" w:rsidRPr="003015A2" w:rsidRDefault="003015A2" w:rsidP="00EB48F7">
            <w:pPr>
              <w:rPr>
                <w:sz w:val="22"/>
                <w:szCs w:val="22"/>
              </w:rPr>
            </w:pPr>
            <w:r w:rsidRPr="003015A2">
              <w:rPr>
                <w:sz w:val="22"/>
                <w:szCs w:val="22"/>
              </w:rPr>
              <w:t>None</w:t>
            </w:r>
          </w:p>
        </w:tc>
      </w:tr>
    </w:tbl>
    <w:p w:rsidR="009F1BE3" w:rsidRDefault="009F1BE3">
      <w:pPr>
        <w:widowControl w:val="0"/>
        <w:tabs>
          <w:tab w:val="left" w:pos="-1440"/>
        </w:tabs>
        <w:rPr>
          <w:b/>
          <w:sz w:val="22"/>
          <w:szCs w:val="22"/>
          <w:u w:val="single"/>
        </w:rPr>
      </w:pPr>
    </w:p>
    <w:p w:rsidR="00F679D5" w:rsidRDefault="00F679D5">
      <w:pPr>
        <w:rPr>
          <w:b/>
          <w:sz w:val="22"/>
          <w:szCs w:val="22"/>
          <w:u w:val="single"/>
        </w:rPr>
      </w:pPr>
      <w:r>
        <w:rPr>
          <w:b/>
          <w:sz w:val="22"/>
          <w:szCs w:val="22"/>
          <w:u w:val="single"/>
        </w:rPr>
        <w:br w:type="page"/>
      </w:r>
    </w:p>
    <w:p w:rsidR="00F679D5" w:rsidRDefault="00F679D5">
      <w:pPr>
        <w:widowControl w:val="0"/>
        <w:tabs>
          <w:tab w:val="left" w:pos="-1440"/>
        </w:tabs>
        <w:rPr>
          <w:b/>
          <w:sz w:val="22"/>
          <w:szCs w:val="22"/>
          <w:u w:val="single"/>
        </w:rPr>
      </w:pPr>
    </w:p>
    <w:p w:rsidR="009F1BE3" w:rsidRDefault="003260FE">
      <w:pPr>
        <w:widowControl w:val="0"/>
        <w:tabs>
          <w:tab w:val="left" w:pos="-1440"/>
        </w:tabs>
        <w:rPr>
          <w:sz w:val="22"/>
          <w:szCs w:val="22"/>
        </w:rPr>
      </w:pPr>
      <w:r>
        <w:rPr>
          <w:b/>
          <w:sz w:val="22"/>
          <w:szCs w:val="22"/>
          <w:u w:val="single"/>
        </w:rPr>
        <w:t>HISTORY</w:t>
      </w:r>
    </w:p>
    <w:p w:rsidR="009F1BE3" w:rsidRDefault="009F1BE3">
      <w:pPr>
        <w:widowControl w:val="0"/>
        <w:tabs>
          <w:tab w:val="left" w:pos="-1440"/>
        </w:tabs>
        <w:ind w:left="720"/>
        <w:rPr>
          <w:sz w:val="22"/>
          <w:szCs w:val="22"/>
        </w:rPr>
      </w:pPr>
    </w:p>
    <w:tbl>
      <w:tblPr>
        <w:tblStyle w:val="a0"/>
        <w:tblW w:w="102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5"/>
        <w:gridCol w:w="6075"/>
      </w:tblGrid>
      <w:tr w:rsidR="003015A2" w:rsidRPr="003015A2">
        <w:tc>
          <w:tcPr>
            <w:tcW w:w="4125" w:type="dxa"/>
            <w:tcBorders>
              <w:top w:val="single" w:sz="4" w:space="0" w:color="000000"/>
              <w:left w:val="single" w:sz="4" w:space="0" w:color="000000"/>
              <w:bottom w:val="single" w:sz="4" w:space="0" w:color="000000"/>
              <w:right w:val="single" w:sz="4" w:space="0" w:color="000000"/>
            </w:tcBorders>
          </w:tcPr>
          <w:p w:rsidR="003015A2" w:rsidRPr="003015A2" w:rsidRDefault="003015A2" w:rsidP="00796B02">
            <w:pPr>
              <w:rPr>
                <w:sz w:val="22"/>
                <w:szCs w:val="22"/>
              </w:rPr>
            </w:pPr>
            <w:r w:rsidRPr="003015A2">
              <w:rPr>
                <w:sz w:val="22"/>
                <w:szCs w:val="22"/>
              </w:rPr>
              <w:t>Annexation Date</w:t>
            </w:r>
          </w:p>
        </w:tc>
        <w:tc>
          <w:tcPr>
            <w:tcW w:w="6075" w:type="dxa"/>
            <w:tcBorders>
              <w:top w:val="single" w:sz="4" w:space="0" w:color="000000"/>
              <w:left w:val="single" w:sz="4" w:space="0" w:color="000000"/>
              <w:bottom w:val="single" w:sz="4" w:space="0" w:color="000000"/>
              <w:right w:val="single" w:sz="4" w:space="0" w:color="000000"/>
            </w:tcBorders>
          </w:tcPr>
          <w:p w:rsidR="003015A2" w:rsidRPr="003015A2" w:rsidRDefault="003015A2" w:rsidP="00796B02">
            <w:pPr>
              <w:rPr>
                <w:sz w:val="22"/>
                <w:szCs w:val="22"/>
              </w:rPr>
            </w:pPr>
            <w:r w:rsidRPr="003015A2">
              <w:rPr>
                <w:sz w:val="22"/>
                <w:szCs w:val="22"/>
              </w:rPr>
              <w:t>2005</w:t>
            </w:r>
          </w:p>
        </w:tc>
      </w:tr>
      <w:tr w:rsidR="003015A2" w:rsidRPr="003015A2">
        <w:tc>
          <w:tcPr>
            <w:tcW w:w="4125" w:type="dxa"/>
            <w:tcBorders>
              <w:top w:val="single" w:sz="4" w:space="0" w:color="000000"/>
              <w:left w:val="single" w:sz="4" w:space="0" w:color="000000"/>
              <w:bottom w:val="single" w:sz="4" w:space="0" w:color="000000"/>
              <w:right w:val="single" w:sz="4" w:space="0" w:color="000000"/>
            </w:tcBorders>
          </w:tcPr>
          <w:p w:rsidR="003015A2" w:rsidRPr="003015A2" w:rsidRDefault="003015A2" w:rsidP="00796B02">
            <w:pPr>
              <w:rPr>
                <w:sz w:val="22"/>
                <w:szCs w:val="22"/>
              </w:rPr>
            </w:pPr>
            <w:r w:rsidRPr="003015A2">
              <w:rPr>
                <w:sz w:val="22"/>
                <w:szCs w:val="22"/>
              </w:rPr>
              <w:t>Existing Zoning District(s)</w:t>
            </w:r>
          </w:p>
        </w:tc>
        <w:tc>
          <w:tcPr>
            <w:tcW w:w="6075" w:type="dxa"/>
            <w:tcBorders>
              <w:top w:val="single" w:sz="4" w:space="0" w:color="000000"/>
              <w:left w:val="single" w:sz="4" w:space="0" w:color="000000"/>
              <w:bottom w:val="single" w:sz="4" w:space="0" w:color="000000"/>
              <w:right w:val="single" w:sz="4" w:space="0" w:color="000000"/>
            </w:tcBorders>
          </w:tcPr>
          <w:p w:rsidR="003015A2" w:rsidRPr="003015A2" w:rsidRDefault="003015A2" w:rsidP="00796B02">
            <w:pPr>
              <w:rPr>
                <w:sz w:val="22"/>
                <w:szCs w:val="22"/>
              </w:rPr>
            </w:pPr>
            <w:r w:rsidRPr="003015A2">
              <w:rPr>
                <w:sz w:val="22"/>
                <w:szCs w:val="22"/>
              </w:rPr>
              <w:t>PUD (Planned Unit Development)</w:t>
            </w:r>
          </w:p>
        </w:tc>
      </w:tr>
      <w:tr w:rsidR="003015A2" w:rsidRPr="003015A2">
        <w:tc>
          <w:tcPr>
            <w:tcW w:w="4125" w:type="dxa"/>
            <w:tcBorders>
              <w:top w:val="single" w:sz="4" w:space="0" w:color="000000"/>
              <w:left w:val="single" w:sz="4" w:space="0" w:color="000000"/>
              <w:bottom w:val="single" w:sz="4" w:space="0" w:color="000000"/>
              <w:right w:val="single" w:sz="4" w:space="0" w:color="000000"/>
            </w:tcBorders>
          </w:tcPr>
          <w:p w:rsidR="003015A2" w:rsidRPr="003015A2" w:rsidRDefault="003015A2" w:rsidP="00796B02">
            <w:pPr>
              <w:rPr>
                <w:sz w:val="22"/>
                <w:szCs w:val="22"/>
              </w:rPr>
            </w:pPr>
            <w:r w:rsidRPr="003015A2">
              <w:rPr>
                <w:sz w:val="22"/>
                <w:szCs w:val="22"/>
              </w:rPr>
              <w:t>Land Use Plan Designation</w:t>
            </w:r>
          </w:p>
        </w:tc>
        <w:tc>
          <w:tcPr>
            <w:tcW w:w="6075" w:type="dxa"/>
            <w:tcBorders>
              <w:top w:val="single" w:sz="4" w:space="0" w:color="000000"/>
              <w:left w:val="single" w:sz="4" w:space="0" w:color="000000"/>
              <w:bottom w:val="single" w:sz="4" w:space="0" w:color="000000"/>
              <w:right w:val="single" w:sz="4" w:space="0" w:color="000000"/>
            </w:tcBorders>
          </w:tcPr>
          <w:p w:rsidR="003015A2" w:rsidRPr="003015A2" w:rsidRDefault="003015A2" w:rsidP="00796B02">
            <w:pPr>
              <w:rPr>
                <w:sz w:val="22"/>
                <w:szCs w:val="22"/>
              </w:rPr>
            </w:pPr>
            <w:r w:rsidRPr="003015A2">
              <w:rPr>
                <w:sz w:val="22"/>
                <w:szCs w:val="22"/>
              </w:rPr>
              <w:t>Neighborhood District</w:t>
            </w:r>
          </w:p>
        </w:tc>
      </w:tr>
      <w:tr w:rsidR="003015A2" w:rsidRPr="003015A2">
        <w:tc>
          <w:tcPr>
            <w:tcW w:w="4125" w:type="dxa"/>
            <w:tcBorders>
              <w:top w:val="single" w:sz="4" w:space="0" w:color="000000"/>
              <w:left w:val="single" w:sz="4" w:space="0" w:color="000000"/>
              <w:bottom w:val="single" w:sz="4" w:space="0" w:color="000000"/>
              <w:right w:val="single" w:sz="4" w:space="0" w:color="000000"/>
            </w:tcBorders>
          </w:tcPr>
          <w:p w:rsidR="003015A2" w:rsidRPr="003015A2" w:rsidRDefault="003015A2" w:rsidP="00796B02">
            <w:pPr>
              <w:rPr>
                <w:sz w:val="22"/>
                <w:szCs w:val="22"/>
              </w:rPr>
            </w:pPr>
            <w:r w:rsidRPr="003015A2">
              <w:rPr>
                <w:sz w:val="22"/>
                <w:szCs w:val="22"/>
              </w:rPr>
              <w:t>Subdivision/Legal Lot Status</w:t>
            </w:r>
          </w:p>
        </w:tc>
        <w:tc>
          <w:tcPr>
            <w:tcW w:w="6075" w:type="dxa"/>
            <w:tcBorders>
              <w:top w:val="single" w:sz="4" w:space="0" w:color="000000"/>
              <w:left w:val="single" w:sz="4" w:space="0" w:color="000000"/>
              <w:bottom w:val="single" w:sz="4" w:space="0" w:color="000000"/>
              <w:right w:val="single" w:sz="4" w:space="0" w:color="000000"/>
            </w:tcBorders>
          </w:tcPr>
          <w:p w:rsidR="003015A2" w:rsidRPr="003015A2" w:rsidRDefault="003015A2" w:rsidP="00796B02">
            <w:pPr>
              <w:rPr>
                <w:sz w:val="22"/>
                <w:szCs w:val="22"/>
              </w:rPr>
            </w:pPr>
            <w:r w:rsidRPr="003015A2">
              <w:rPr>
                <w:sz w:val="22"/>
                <w:szCs w:val="22"/>
              </w:rPr>
              <w:t>Lot 1, The Residences at Old Hawthorne</w:t>
            </w:r>
          </w:p>
        </w:tc>
      </w:tr>
    </w:tbl>
    <w:p w:rsidR="009F1BE3" w:rsidRDefault="009F1BE3">
      <w:pPr>
        <w:rPr>
          <w:b/>
          <w:sz w:val="22"/>
          <w:szCs w:val="22"/>
          <w:u w:val="single"/>
        </w:rPr>
      </w:pPr>
    </w:p>
    <w:p w:rsidR="009F1BE3" w:rsidRDefault="003260FE" w:rsidP="003015A2">
      <w:pPr>
        <w:widowControl w:val="0"/>
        <w:tabs>
          <w:tab w:val="left" w:pos="-1440"/>
        </w:tabs>
        <w:rPr>
          <w:b/>
          <w:sz w:val="22"/>
          <w:szCs w:val="22"/>
          <w:u w:val="single"/>
        </w:rPr>
      </w:pPr>
      <w:r>
        <w:rPr>
          <w:b/>
          <w:sz w:val="22"/>
          <w:szCs w:val="22"/>
          <w:u w:val="single"/>
        </w:rPr>
        <w:t>UTILITIES &amp; SERVICES</w:t>
      </w:r>
    </w:p>
    <w:p w:rsidR="009F1BE3" w:rsidRDefault="009F1BE3">
      <w:pPr>
        <w:widowControl w:val="0"/>
        <w:tabs>
          <w:tab w:val="left" w:pos="-1440"/>
        </w:tabs>
        <w:ind w:left="720"/>
        <w:rPr>
          <w:sz w:val="22"/>
          <w:szCs w:val="22"/>
        </w:rPr>
      </w:pPr>
    </w:p>
    <w:p w:rsidR="009F1BE3" w:rsidRDefault="003260FE">
      <w:pPr>
        <w:widowControl w:val="0"/>
        <w:tabs>
          <w:tab w:val="left" w:pos="-1440"/>
        </w:tabs>
        <w:rPr>
          <w:sz w:val="22"/>
          <w:szCs w:val="22"/>
        </w:rPr>
      </w:pPr>
      <w:r>
        <w:rPr>
          <w:sz w:val="22"/>
          <w:szCs w:val="22"/>
        </w:rPr>
        <w:t>All utilities and services provided by the City of Columbia</w:t>
      </w:r>
    </w:p>
    <w:p w:rsidR="009F1BE3" w:rsidRDefault="009F1BE3">
      <w:pPr>
        <w:widowControl w:val="0"/>
        <w:tabs>
          <w:tab w:val="left" w:pos="-1440"/>
        </w:tabs>
        <w:rPr>
          <w:sz w:val="22"/>
          <w:szCs w:val="22"/>
        </w:rPr>
      </w:pPr>
    </w:p>
    <w:p w:rsidR="009F1BE3" w:rsidRDefault="003260FE">
      <w:pPr>
        <w:widowControl w:val="0"/>
        <w:tabs>
          <w:tab w:val="left" w:pos="-1440"/>
        </w:tabs>
        <w:rPr>
          <w:b/>
          <w:sz w:val="22"/>
          <w:szCs w:val="22"/>
          <w:u w:val="single"/>
        </w:rPr>
      </w:pPr>
      <w:r>
        <w:rPr>
          <w:b/>
          <w:sz w:val="22"/>
          <w:szCs w:val="22"/>
          <w:u w:val="single"/>
        </w:rPr>
        <w:t>ACCESS</w:t>
      </w:r>
    </w:p>
    <w:p w:rsidR="009F1BE3" w:rsidRDefault="009F1BE3">
      <w:pPr>
        <w:widowControl w:val="0"/>
        <w:tabs>
          <w:tab w:val="left" w:pos="-1440"/>
        </w:tabs>
        <w:rPr>
          <w:b/>
          <w:sz w:val="22"/>
          <w:szCs w:val="22"/>
          <w:u w:val="single"/>
        </w:rPr>
      </w:pPr>
    </w:p>
    <w:p w:rsidR="003015A2" w:rsidRPr="003015A2" w:rsidRDefault="003015A2" w:rsidP="003015A2">
      <w:pPr>
        <w:widowControl w:val="0"/>
        <w:tabs>
          <w:tab w:val="left" w:pos="-1440"/>
        </w:tabs>
        <w:rPr>
          <w:sz w:val="22"/>
          <w:szCs w:val="22"/>
        </w:rPr>
      </w:pPr>
      <w:r w:rsidRPr="003015A2">
        <w:rPr>
          <w:sz w:val="22"/>
          <w:szCs w:val="22"/>
        </w:rPr>
        <w:t>Access is provided via an extension of a private drive off of an existing private street, which serves the Old Hawthorne clubhouse.  No new public streets are proposed or required to support the development plan request.</w:t>
      </w:r>
    </w:p>
    <w:p w:rsidR="009F1BE3" w:rsidRDefault="009F1BE3">
      <w:pPr>
        <w:rPr>
          <w:sz w:val="22"/>
          <w:szCs w:val="22"/>
        </w:rPr>
      </w:pPr>
    </w:p>
    <w:p w:rsidR="009F1BE3" w:rsidRDefault="003260FE" w:rsidP="003015A2">
      <w:pPr>
        <w:widowControl w:val="0"/>
        <w:tabs>
          <w:tab w:val="left" w:pos="-1440"/>
        </w:tabs>
        <w:rPr>
          <w:b/>
          <w:sz w:val="22"/>
          <w:szCs w:val="22"/>
          <w:u w:val="single"/>
        </w:rPr>
      </w:pPr>
      <w:r>
        <w:rPr>
          <w:b/>
          <w:sz w:val="22"/>
          <w:szCs w:val="22"/>
          <w:u w:val="single"/>
        </w:rPr>
        <w:t>PARKS &amp; RECREATION</w:t>
      </w:r>
    </w:p>
    <w:p w:rsidR="009F1BE3" w:rsidRDefault="009F1BE3">
      <w:pPr>
        <w:widowControl w:val="0"/>
        <w:tabs>
          <w:tab w:val="left" w:pos="-1440"/>
        </w:tabs>
        <w:ind w:left="720"/>
        <w:rPr>
          <w:sz w:val="22"/>
          <w:szCs w:val="22"/>
          <w:highlight w:val="yellow"/>
        </w:rPr>
      </w:pPr>
    </w:p>
    <w:tbl>
      <w:tblPr>
        <w:tblStyle w:val="a3"/>
        <w:tblW w:w="102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5"/>
        <w:gridCol w:w="7035"/>
      </w:tblGrid>
      <w:tr w:rsidR="009F1BE3">
        <w:tc>
          <w:tcPr>
            <w:tcW w:w="3165" w:type="dxa"/>
            <w:tcBorders>
              <w:top w:val="single" w:sz="4" w:space="0" w:color="000000"/>
              <w:left w:val="single" w:sz="4" w:space="0" w:color="000000"/>
              <w:bottom w:val="single" w:sz="4" w:space="0" w:color="000000"/>
              <w:right w:val="single" w:sz="4" w:space="0" w:color="000000"/>
            </w:tcBorders>
          </w:tcPr>
          <w:p w:rsidR="009F1BE3" w:rsidRDefault="003260FE">
            <w:pPr>
              <w:widowControl w:val="0"/>
              <w:rPr>
                <w:b/>
                <w:sz w:val="22"/>
                <w:szCs w:val="22"/>
              </w:rPr>
            </w:pPr>
            <w:r>
              <w:rPr>
                <w:b/>
                <w:sz w:val="22"/>
                <w:szCs w:val="22"/>
              </w:rPr>
              <w:t>Neighborhood Parks</w:t>
            </w:r>
          </w:p>
        </w:tc>
        <w:tc>
          <w:tcPr>
            <w:tcW w:w="7035" w:type="dxa"/>
            <w:tcBorders>
              <w:top w:val="single" w:sz="4" w:space="0" w:color="000000"/>
              <w:left w:val="single" w:sz="4" w:space="0" w:color="000000"/>
              <w:bottom w:val="single" w:sz="4" w:space="0" w:color="000000"/>
              <w:right w:val="single" w:sz="4" w:space="0" w:color="000000"/>
            </w:tcBorders>
          </w:tcPr>
          <w:p w:rsidR="009F1BE3" w:rsidRDefault="003260FE">
            <w:pPr>
              <w:widowControl w:val="0"/>
              <w:rPr>
                <w:sz w:val="22"/>
                <w:szCs w:val="22"/>
              </w:rPr>
            </w:pPr>
            <w:r>
              <w:rPr>
                <w:sz w:val="22"/>
                <w:szCs w:val="22"/>
              </w:rPr>
              <w:t>Not within a park service area; not within an acquisition area</w:t>
            </w:r>
          </w:p>
        </w:tc>
      </w:tr>
      <w:tr w:rsidR="009F1BE3">
        <w:tc>
          <w:tcPr>
            <w:tcW w:w="3165" w:type="dxa"/>
            <w:tcBorders>
              <w:top w:val="single" w:sz="4" w:space="0" w:color="000000"/>
              <w:left w:val="single" w:sz="4" w:space="0" w:color="000000"/>
              <w:bottom w:val="single" w:sz="4" w:space="0" w:color="000000"/>
              <w:right w:val="single" w:sz="4" w:space="0" w:color="000000"/>
            </w:tcBorders>
          </w:tcPr>
          <w:p w:rsidR="009F1BE3" w:rsidRDefault="003260FE">
            <w:pPr>
              <w:widowControl w:val="0"/>
              <w:rPr>
                <w:b/>
                <w:sz w:val="22"/>
                <w:szCs w:val="22"/>
              </w:rPr>
            </w:pPr>
            <w:r>
              <w:rPr>
                <w:b/>
                <w:sz w:val="22"/>
                <w:szCs w:val="22"/>
              </w:rPr>
              <w:t>Trails Plan</w:t>
            </w:r>
          </w:p>
        </w:tc>
        <w:tc>
          <w:tcPr>
            <w:tcW w:w="7035" w:type="dxa"/>
            <w:tcBorders>
              <w:top w:val="single" w:sz="4" w:space="0" w:color="000000"/>
              <w:left w:val="single" w:sz="4" w:space="0" w:color="000000"/>
              <w:bottom w:val="single" w:sz="4" w:space="0" w:color="000000"/>
              <w:right w:val="single" w:sz="4" w:space="0" w:color="000000"/>
            </w:tcBorders>
          </w:tcPr>
          <w:p w:rsidR="009F1BE3" w:rsidRDefault="003260FE">
            <w:pPr>
              <w:widowControl w:val="0"/>
              <w:rPr>
                <w:sz w:val="22"/>
                <w:szCs w:val="22"/>
              </w:rPr>
            </w:pPr>
            <w:r>
              <w:rPr>
                <w:sz w:val="22"/>
                <w:szCs w:val="22"/>
              </w:rPr>
              <w:t>Planned trail north of properties.</w:t>
            </w:r>
          </w:p>
        </w:tc>
      </w:tr>
      <w:tr w:rsidR="009F1BE3">
        <w:tc>
          <w:tcPr>
            <w:tcW w:w="3165" w:type="dxa"/>
            <w:tcBorders>
              <w:top w:val="single" w:sz="4" w:space="0" w:color="000000"/>
              <w:left w:val="single" w:sz="4" w:space="0" w:color="000000"/>
              <w:bottom w:val="single" w:sz="4" w:space="0" w:color="000000"/>
              <w:right w:val="single" w:sz="4" w:space="0" w:color="000000"/>
            </w:tcBorders>
          </w:tcPr>
          <w:p w:rsidR="009F1BE3" w:rsidRDefault="003260FE">
            <w:pPr>
              <w:widowControl w:val="0"/>
              <w:rPr>
                <w:b/>
                <w:sz w:val="22"/>
                <w:szCs w:val="22"/>
              </w:rPr>
            </w:pPr>
            <w:r>
              <w:rPr>
                <w:b/>
                <w:sz w:val="22"/>
                <w:szCs w:val="22"/>
              </w:rPr>
              <w:t>Bicycle/Pedestrian Plan</w:t>
            </w:r>
          </w:p>
        </w:tc>
        <w:tc>
          <w:tcPr>
            <w:tcW w:w="7035" w:type="dxa"/>
            <w:tcBorders>
              <w:top w:val="single" w:sz="4" w:space="0" w:color="000000"/>
              <w:left w:val="single" w:sz="4" w:space="0" w:color="000000"/>
              <w:bottom w:val="single" w:sz="4" w:space="0" w:color="000000"/>
              <w:right w:val="single" w:sz="4" w:space="0" w:color="000000"/>
            </w:tcBorders>
          </w:tcPr>
          <w:p w:rsidR="009F1BE3" w:rsidRDefault="003260FE">
            <w:pPr>
              <w:widowControl w:val="0"/>
              <w:rPr>
                <w:sz w:val="22"/>
                <w:szCs w:val="22"/>
              </w:rPr>
            </w:pPr>
            <w:r>
              <w:rPr>
                <w:sz w:val="22"/>
                <w:szCs w:val="22"/>
              </w:rPr>
              <w:t>No facilities adjacent to site.</w:t>
            </w:r>
          </w:p>
        </w:tc>
      </w:tr>
    </w:tbl>
    <w:p w:rsidR="009F1BE3" w:rsidRDefault="009F1BE3">
      <w:pPr>
        <w:rPr>
          <w:b/>
          <w:sz w:val="16"/>
          <w:szCs w:val="16"/>
          <w:u w:val="single"/>
        </w:rPr>
      </w:pPr>
    </w:p>
    <w:p w:rsidR="009F1BE3" w:rsidRDefault="003260FE">
      <w:pPr>
        <w:rPr>
          <w:sz w:val="22"/>
          <w:szCs w:val="22"/>
        </w:rPr>
      </w:pPr>
      <w:r>
        <w:rPr>
          <w:b/>
          <w:sz w:val="22"/>
          <w:szCs w:val="22"/>
          <w:u w:val="single"/>
        </w:rPr>
        <w:t>PUBLIC NOTIFICATION</w:t>
      </w:r>
    </w:p>
    <w:p w:rsidR="009F1BE3" w:rsidRDefault="009F1BE3">
      <w:pPr>
        <w:rPr>
          <w:sz w:val="22"/>
          <w:szCs w:val="22"/>
        </w:rPr>
      </w:pPr>
    </w:p>
    <w:p w:rsidR="009F1BE3" w:rsidRDefault="003260FE">
      <w:pPr>
        <w:rPr>
          <w:sz w:val="22"/>
          <w:szCs w:val="22"/>
        </w:rPr>
      </w:pPr>
      <w:r>
        <w:rPr>
          <w:sz w:val="22"/>
          <w:szCs w:val="22"/>
        </w:rPr>
        <w:t xml:space="preserve">All property owners within 200 feet and City-recognized neighborhood associations within 1,000 feet of the boundaries of the subject property were notified of a public information meeting, which was held on </w:t>
      </w:r>
      <w:r>
        <w:rPr>
          <w:sz w:val="22"/>
          <w:szCs w:val="22"/>
          <w:u w:val="single"/>
        </w:rPr>
        <w:t>April 25, 2017</w:t>
      </w:r>
      <w:r>
        <w:rPr>
          <w:sz w:val="22"/>
          <w:szCs w:val="22"/>
        </w:rPr>
        <w:t>.</w:t>
      </w:r>
    </w:p>
    <w:p w:rsidR="009F1BE3" w:rsidRDefault="009F1BE3">
      <w:pPr>
        <w:rPr>
          <w:sz w:val="22"/>
          <w:szCs w:val="22"/>
        </w:rPr>
      </w:pPr>
    </w:p>
    <w:tbl>
      <w:tblPr>
        <w:tblStyle w:val="a4"/>
        <w:tblW w:w="101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1"/>
        <w:gridCol w:w="7270"/>
      </w:tblGrid>
      <w:tr w:rsidR="003015A2" w:rsidRPr="003015A2" w:rsidTr="003015A2">
        <w:tc>
          <w:tcPr>
            <w:tcW w:w="2911" w:type="dxa"/>
            <w:tcBorders>
              <w:top w:val="single" w:sz="4" w:space="0" w:color="000000"/>
              <w:left w:val="single" w:sz="4" w:space="0" w:color="000000"/>
              <w:bottom w:val="single" w:sz="4" w:space="0" w:color="000000"/>
              <w:right w:val="single" w:sz="4" w:space="0" w:color="000000"/>
            </w:tcBorders>
          </w:tcPr>
          <w:p w:rsidR="003015A2" w:rsidRPr="003015A2" w:rsidRDefault="003015A2" w:rsidP="007D76AC">
            <w:pPr>
              <w:rPr>
                <w:sz w:val="22"/>
                <w:szCs w:val="22"/>
              </w:rPr>
            </w:pPr>
            <w:r w:rsidRPr="003015A2">
              <w:rPr>
                <w:sz w:val="22"/>
                <w:szCs w:val="22"/>
              </w:rPr>
              <w:t>Neighborhood Parks</w:t>
            </w:r>
          </w:p>
        </w:tc>
        <w:tc>
          <w:tcPr>
            <w:tcW w:w="7270" w:type="dxa"/>
            <w:tcBorders>
              <w:top w:val="single" w:sz="4" w:space="0" w:color="000000"/>
              <w:left w:val="single" w:sz="4" w:space="0" w:color="000000"/>
              <w:bottom w:val="single" w:sz="4" w:space="0" w:color="000000"/>
              <w:right w:val="single" w:sz="4" w:space="0" w:color="000000"/>
            </w:tcBorders>
          </w:tcPr>
          <w:p w:rsidR="003015A2" w:rsidRPr="003015A2" w:rsidRDefault="003015A2" w:rsidP="007D76AC">
            <w:pPr>
              <w:rPr>
                <w:sz w:val="22"/>
                <w:szCs w:val="22"/>
              </w:rPr>
            </w:pPr>
            <w:r w:rsidRPr="003015A2">
              <w:rPr>
                <w:sz w:val="22"/>
                <w:szCs w:val="22"/>
              </w:rPr>
              <w:t>There are no public parks located within the Old Hawthorne development. Residents have access to private amenities.</w:t>
            </w:r>
          </w:p>
        </w:tc>
        <w:bookmarkStart w:id="2" w:name="_GoBack"/>
        <w:bookmarkEnd w:id="2"/>
      </w:tr>
      <w:tr w:rsidR="003015A2" w:rsidRPr="003015A2" w:rsidTr="003015A2">
        <w:tc>
          <w:tcPr>
            <w:tcW w:w="2911" w:type="dxa"/>
            <w:tcBorders>
              <w:top w:val="single" w:sz="4" w:space="0" w:color="000000"/>
              <w:left w:val="single" w:sz="4" w:space="0" w:color="000000"/>
              <w:bottom w:val="single" w:sz="4" w:space="0" w:color="000000"/>
              <w:right w:val="single" w:sz="4" w:space="0" w:color="000000"/>
            </w:tcBorders>
          </w:tcPr>
          <w:p w:rsidR="003015A2" w:rsidRPr="003015A2" w:rsidRDefault="003015A2" w:rsidP="007D76AC">
            <w:pPr>
              <w:rPr>
                <w:sz w:val="22"/>
                <w:szCs w:val="22"/>
              </w:rPr>
            </w:pPr>
            <w:r w:rsidRPr="003015A2">
              <w:rPr>
                <w:sz w:val="22"/>
                <w:szCs w:val="22"/>
              </w:rPr>
              <w:t>Trails Plan</w:t>
            </w:r>
          </w:p>
        </w:tc>
        <w:tc>
          <w:tcPr>
            <w:tcW w:w="7270" w:type="dxa"/>
            <w:tcBorders>
              <w:top w:val="single" w:sz="4" w:space="0" w:color="000000"/>
              <w:left w:val="single" w:sz="4" w:space="0" w:color="000000"/>
              <w:bottom w:val="single" w:sz="4" w:space="0" w:color="000000"/>
              <w:right w:val="single" w:sz="4" w:space="0" w:color="000000"/>
            </w:tcBorders>
          </w:tcPr>
          <w:p w:rsidR="003015A2" w:rsidRPr="003015A2" w:rsidRDefault="003015A2" w:rsidP="007D76AC">
            <w:pPr>
              <w:rPr>
                <w:sz w:val="22"/>
                <w:szCs w:val="22"/>
              </w:rPr>
            </w:pPr>
            <w:r w:rsidRPr="003015A2">
              <w:rPr>
                <w:sz w:val="22"/>
                <w:szCs w:val="22"/>
              </w:rPr>
              <w:t>No trails planned</w:t>
            </w:r>
          </w:p>
        </w:tc>
      </w:tr>
      <w:tr w:rsidR="003015A2" w:rsidRPr="003015A2" w:rsidTr="003015A2">
        <w:tc>
          <w:tcPr>
            <w:tcW w:w="2911" w:type="dxa"/>
            <w:tcBorders>
              <w:top w:val="single" w:sz="4" w:space="0" w:color="000000"/>
              <w:left w:val="single" w:sz="4" w:space="0" w:color="000000"/>
              <w:bottom w:val="single" w:sz="4" w:space="0" w:color="000000"/>
              <w:right w:val="single" w:sz="4" w:space="0" w:color="000000"/>
            </w:tcBorders>
          </w:tcPr>
          <w:p w:rsidR="003015A2" w:rsidRPr="003015A2" w:rsidRDefault="003015A2" w:rsidP="007D76AC">
            <w:pPr>
              <w:rPr>
                <w:sz w:val="22"/>
                <w:szCs w:val="22"/>
              </w:rPr>
            </w:pPr>
            <w:r w:rsidRPr="003015A2">
              <w:rPr>
                <w:sz w:val="22"/>
                <w:szCs w:val="22"/>
              </w:rPr>
              <w:t>Bicycle/Pedestrian Plan</w:t>
            </w:r>
          </w:p>
        </w:tc>
        <w:tc>
          <w:tcPr>
            <w:tcW w:w="7270" w:type="dxa"/>
            <w:tcBorders>
              <w:top w:val="single" w:sz="4" w:space="0" w:color="000000"/>
              <w:left w:val="single" w:sz="4" w:space="0" w:color="000000"/>
              <w:bottom w:val="single" w:sz="4" w:space="0" w:color="000000"/>
              <w:right w:val="single" w:sz="4" w:space="0" w:color="000000"/>
            </w:tcBorders>
          </w:tcPr>
          <w:p w:rsidR="003015A2" w:rsidRPr="003015A2" w:rsidRDefault="003015A2" w:rsidP="007D76AC">
            <w:pPr>
              <w:rPr>
                <w:sz w:val="22"/>
                <w:szCs w:val="22"/>
              </w:rPr>
            </w:pPr>
            <w:r w:rsidRPr="003015A2">
              <w:rPr>
                <w:sz w:val="22"/>
                <w:szCs w:val="22"/>
              </w:rPr>
              <w:t>No bike/</w:t>
            </w:r>
            <w:proofErr w:type="spellStart"/>
            <w:r w:rsidRPr="003015A2">
              <w:rPr>
                <w:sz w:val="22"/>
                <w:szCs w:val="22"/>
              </w:rPr>
              <w:t>ped</w:t>
            </w:r>
            <w:proofErr w:type="spellEnd"/>
            <w:r w:rsidRPr="003015A2">
              <w:rPr>
                <w:sz w:val="22"/>
                <w:szCs w:val="22"/>
              </w:rPr>
              <w:t xml:space="preserve"> infrastructure planned</w:t>
            </w:r>
          </w:p>
        </w:tc>
      </w:tr>
    </w:tbl>
    <w:p w:rsidR="009F1BE3" w:rsidRDefault="009F1BE3">
      <w:pPr>
        <w:rPr>
          <w:sz w:val="22"/>
          <w:szCs w:val="22"/>
        </w:rPr>
      </w:pPr>
    </w:p>
    <w:p w:rsidR="00F679D5" w:rsidRDefault="00F679D5">
      <w:pPr>
        <w:rPr>
          <w:sz w:val="22"/>
          <w:szCs w:val="22"/>
        </w:rPr>
      </w:pPr>
    </w:p>
    <w:p w:rsidR="009F1BE3" w:rsidRDefault="003260FE">
      <w:pPr>
        <w:rPr>
          <w:sz w:val="22"/>
          <w:szCs w:val="22"/>
        </w:rPr>
      </w:pPr>
      <w:r>
        <w:rPr>
          <w:sz w:val="22"/>
          <w:szCs w:val="22"/>
        </w:rPr>
        <w:t xml:space="preserve">Report prepared by </w:t>
      </w:r>
      <w:r>
        <w:rPr>
          <w:sz w:val="22"/>
          <w:szCs w:val="22"/>
          <w:u w:val="single"/>
        </w:rPr>
        <w:t>Clint Smith</w:t>
      </w:r>
      <w:r>
        <w:rPr>
          <w:sz w:val="22"/>
          <w:szCs w:val="22"/>
        </w:rPr>
        <w:tab/>
      </w:r>
      <w:r>
        <w:rPr>
          <w:sz w:val="22"/>
          <w:szCs w:val="22"/>
        </w:rPr>
        <w:tab/>
        <w:t xml:space="preserve">Approved by </w:t>
      </w:r>
      <w:r>
        <w:rPr>
          <w:sz w:val="22"/>
          <w:szCs w:val="22"/>
          <w:u w:val="single"/>
        </w:rPr>
        <w:t xml:space="preserve">Patrick </w:t>
      </w:r>
      <w:proofErr w:type="spellStart"/>
      <w:r>
        <w:rPr>
          <w:sz w:val="22"/>
          <w:szCs w:val="22"/>
          <w:u w:val="single"/>
        </w:rPr>
        <w:t>Zenner</w:t>
      </w:r>
      <w:proofErr w:type="spellEnd"/>
    </w:p>
    <w:sectPr w:rsidR="009F1BE3" w:rsidSect="00F679D5">
      <w:headerReference w:type="default" r:id="rId8"/>
      <w:footerReference w:type="default" r:id="rId9"/>
      <w:pgSz w:w="12240" w:h="15840" w:code="1"/>
      <w:pgMar w:top="1080" w:right="108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77" w:rsidRDefault="003260FE">
      <w:r>
        <w:separator/>
      </w:r>
    </w:p>
  </w:endnote>
  <w:endnote w:type="continuationSeparator" w:id="0">
    <w:p w:rsidR="00676977" w:rsidRDefault="0032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E3" w:rsidRDefault="003260FE">
    <w:pPr>
      <w:tabs>
        <w:tab w:val="center" w:pos="4320"/>
        <w:tab w:val="right" w:pos="8640"/>
      </w:tabs>
      <w:spacing w:after="432"/>
      <w:jc w:val="center"/>
      <w:rPr>
        <w:rFonts w:ascii="Questrial" w:eastAsia="Questrial" w:hAnsi="Questrial" w:cs="Questrial"/>
        <w:sz w:val="20"/>
        <w:szCs w:val="20"/>
      </w:rPr>
    </w:pPr>
    <w:r>
      <w:rPr>
        <w:rFonts w:ascii="Questrial" w:eastAsia="Questrial" w:hAnsi="Questrial" w:cs="Questrial"/>
        <w:sz w:val="20"/>
        <w:szCs w:val="20"/>
      </w:rPr>
      <w:fldChar w:fldCharType="begin"/>
    </w:r>
    <w:r>
      <w:rPr>
        <w:rFonts w:ascii="Questrial" w:eastAsia="Questrial" w:hAnsi="Questrial" w:cs="Questrial"/>
        <w:sz w:val="20"/>
        <w:szCs w:val="20"/>
      </w:rPr>
      <w:instrText>PAGE</w:instrText>
    </w:r>
    <w:r>
      <w:rPr>
        <w:rFonts w:ascii="Questrial" w:eastAsia="Questrial" w:hAnsi="Questrial" w:cs="Questrial"/>
        <w:sz w:val="20"/>
        <w:szCs w:val="20"/>
      </w:rPr>
      <w:fldChar w:fldCharType="separate"/>
    </w:r>
    <w:r w:rsidR="003015A2">
      <w:rPr>
        <w:rFonts w:ascii="Questrial" w:eastAsia="Questrial" w:hAnsi="Questrial" w:cs="Questrial"/>
        <w:noProof/>
        <w:sz w:val="20"/>
        <w:szCs w:val="20"/>
      </w:rPr>
      <w:t>1</w:t>
    </w:r>
    <w:r>
      <w:rPr>
        <w:rFonts w:ascii="Questrial" w:eastAsia="Questrial" w:hAnsi="Questrial" w:cs="Quest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77" w:rsidRDefault="003260FE">
      <w:r>
        <w:separator/>
      </w:r>
    </w:p>
  </w:footnote>
  <w:footnote w:type="continuationSeparator" w:id="0">
    <w:p w:rsidR="00676977" w:rsidRDefault="00326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E3" w:rsidRDefault="009F1BE3">
    <w:pPr>
      <w:tabs>
        <w:tab w:val="center" w:pos="4320"/>
        <w:tab w:val="right" w:pos="8640"/>
      </w:tabs>
      <w:jc w:val="right"/>
      <w:rPr>
        <w:sz w:val="20"/>
        <w:szCs w:val="20"/>
      </w:rPr>
    </w:pPr>
  </w:p>
  <w:p w:rsidR="009F1BE3" w:rsidRDefault="003260FE">
    <w:pPr>
      <w:tabs>
        <w:tab w:val="center" w:pos="4320"/>
        <w:tab w:val="right" w:pos="8640"/>
      </w:tabs>
      <w:jc w:val="right"/>
      <w:rPr>
        <w:sz w:val="20"/>
        <w:szCs w:val="20"/>
      </w:rPr>
    </w:pPr>
    <w:r>
      <w:rPr>
        <w:sz w:val="20"/>
        <w:szCs w:val="20"/>
      </w:rPr>
      <w:t>Cases #17-93</w:t>
    </w:r>
  </w:p>
  <w:p w:rsidR="009F1BE3" w:rsidRDefault="003260FE">
    <w:pPr>
      <w:tabs>
        <w:tab w:val="center" w:pos="4320"/>
        <w:tab w:val="right" w:pos="8640"/>
      </w:tabs>
      <w:jc w:val="right"/>
      <w:rPr>
        <w:sz w:val="20"/>
        <w:szCs w:val="20"/>
      </w:rPr>
    </w:pPr>
    <w:r>
      <w:rPr>
        <w:sz w:val="20"/>
        <w:szCs w:val="20"/>
      </w:rPr>
      <w:t>Creeks Edge, Plat No. 1-B</w:t>
    </w:r>
  </w:p>
  <w:p w:rsidR="009F1BE3" w:rsidRDefault="003260FE">
    <w:pPr>
      <w:tabs>
        <w:tab w:val="center" w:pos="4320"/>
        <w:tab w:val="right" w:pos="8640"/>
      </w:tabs>
      <w:jc w:val="right"/>
      <w:rPr>
        <w:sz w:val="20"/>
        <w:szCs w:val="20"/>
      </w:rPr>
    </w:pPr>
    <w:r>
      <w:rPr>
        <w:sz w:val="20"/>
        <w:szCs w:val="20"/>
      </w:rPr>
      <w:t>Preliminary Plat</w:t>
    </w:r>
  </w:p>
  <w:p w:rsidR="009F1BE3" w:rsidRDefault="009F1BE3">
    <w:pPr>
      <w:tabs>
        <w:tab w:val="center" w:pos="4320"/>
        <w:tab w:val="right" w:pos="8640"/>
      </w:tabs>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E09D5"/>
    <w:multiLevelType w:val="multilevel"/>
    <w:tmpl w:val="AC9A3C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1BE3"/>
    <w:rsid w:val="003015A2"/>
    <w:rsid w:val="003260FE"/>
    <w:rsid w:val="00676977"/>
    <w:rsid w:val="009F1BE3"/>
    <w:rsid w:val="00C61427"/>
    <w:rsid w:val="00F6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1041</Words>
  <Characters>5934</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PRZENNER</cp:lastModifiedBy>
  <cp:revision>5</cp:revision>
  <dcterms:created xsi:type="dcterms:W3CDTF">2017-05-11T20:51:00Z</dcterms:created>
  <dcterms:modified xsi:type="dcterms:W3CDTF">2017-05-12T13:16:00Z</dcterms:modified>
</cp:coreProperties>
</file>