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w:value="City Utilities"/>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eighborhood Services" w:value="Communtiy Development - Neighborhood Service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63603F">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6-05T00:00:00Z">
            <w:dateFormat w:val="MMMM d, yyyy"/>
            <w:lid w:val="en-US"/>
            <w:storeMappedDataAs w:val="dateTime"/>
            <w:calendar w:val="gregorian"/>
          </w:date>
        </w:sdtPr>
        <w:sdtEndPr>
          <w:rPr>
            <w:rStyle w:val="DefaultParagraphFont"/>
            <w:rFonts w:ascii="Times New Roman" w:hAnsi="Times New Roman"/>
          </w:rPr>
        </w:sdtEndPr>
        <w:sdtContent>
          <w:r w:rsidR="00C2401A">
            <w:rPr>
              <w:rStyle w:val="Style3"/>
            </w:rPr>
            <w:t>June 5,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C2401A">
            <w:rPr>
              <w:rStyle w:val="Style3"/>
              <w:rFonts w:eastAsiaTheme="majorEastAsia"/>
            </w:rPr>
            <w:t>Sutter Industrial Plat 4 – Easement Vacation (Case # 17-131)</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C2401A">
          <w:pPr>
            <w:rPr>
              <w:rFonts w:ascii="Century Gothic" w:hAnsi="Century Gothic"/>
            </w:rPr>
          </w:pPr>
          <w:r>
            <w:rPr>
              <w:rFonts w:ascii="Century Gothic" w:hAnsi="Century Gothic"/>
            </w:rPr>
            <w:t xml:space="preserve">Approval of this request will </w:t>
          </w:r>
          <w:r w:rsidR="008A33E6">
            <w:rPr>
              <w:rFonts w:ascii="Century Gothic" w:hAnsi="Century Gothic"/>
            </w:rPr>
            <w:t>v</w:t>
          </w:r>
          <w:r>
            <w:rPr>
              <w:rFonts w:ascii="Century Gothic" w:hAnsi="Century Gothic"/>
            </w:rPr>
            <w:t>acat</w:t>
          </w:r>
          <w:r w:rsidR="008A33E6">
            <w:rPr>
              <w:rFonts w:ascii="Century Gothic" w:hAnsi="Century Gothic"/>
            </w:rPr>
            <w:t>e</w:t>
          </w:r>
          <w:r>
            <w:rPr>
              <w:rFonts w:ascii="Century Gothic" w:hAnsi="Century Gothic"/>
            </w:rPr>
            <w:t xml:space="preserve"> a previously recorded sanitary sewer easement that is no longer nee</w:t>
          </w:r>
          <w:r w:rsidR="008A33E6">
            <w:rPr>
              <w:rFonts w:ascii="Century Gothic" w:hAnsi="Century Gothic"/>
            </w:rPr>
            <w:t>ded</w:t>
          </w:r>
          <w:r>
            <w:rPr>
              <w:rFonts w:ascii="Century Gothic" w:hAnsi="Century Gothic"/>
            </w:rPr>
            <w:t xml:space="preserve"> to serve the future site of Aurora Organic Dairy located northeast of the intersection of Route B and Waco Road.</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F46DDF" w:rsidRDefault="008A33E6" w:rsidP="00CE4274">
          <w:pPr>
            <w:rPr>
              <w:rFonts w:ascii="Century Gothic" w:hAnsi="Century Gothic"/>
            </w:rPr>
          </w:pPr>
          <w:r>
            <w:rPr>
              <w:rFonts w:ascii="Century Gothic" w:hAnsi="Century Gothic"/>
            </w:rPr>
            <w:t xml:space="preserve">The applicant, Crockett Engineering on behalf of AOD-MO Holdings, LLC </w:t>
          </w:r>
          <w:r w:rsidR="00F46DDF">
            <w:rPr>
              <w:rFonts w:ascii="Century Gothic" w:hAnsi="Century Gothic"/>
            </w:rPr>
            <w:t xml:space="preserve">is </w:t>
          </w:r>
          <w:r>
            <w:rPr>
              <w:rFonts w:ascii="Century Gothic" w:hAnsi="Century Gothic"/>
            </w:rPr>
            <w:t>request</w:t>
          </w:r>
          <w:r w:rsidR="00F46DDF">
            <w:rPr>
              <w:rFonts w:ascii="Century Gothic" w:hAnsi="Century Gothic"/>
            </w:rPr>
            <w:t>ing that</w:t>
          </w:r>
          <w:r>
            <w:rPr>
              <w:rFonts w:ascii="Century Gothic" w:hAnsi="Century Gothic"/>
            </w:rPr>
            <w:t xml:space="preserve"> </w:t>
          </w:r>
          <w:r w:rsidR="00F46DDF">
            <w:rPr>
              <w:rFonts w:ascii="Century Gothic" w:hAnsi="Century Gothic"/>
            </w:rPr>
            <w:t xml:space="preserve">a </w:t>
          </w:r>
          <w:r>
            <w:rPr>
              <w:rFonts w:ascii="Century Gothic" w:hAnsi="Century Gothic"/>
            </w:rPr>
            <w:t xml:space="preserve">portion of an existing sanitary sewer easement that traverses their property located north of Waco Road </w:t>
          </w:r>
          <w:r w:rsidR="00F84CAD">
            <w:rPr>
              <w:rFonts w:ascii="Century Gothic" w:hAnsi="Century Gothic"/>
            </w:rPr>
            <w:t xml:space="preserve">and </w:t>
          </w:r>
          <w:r>
            <w:rPr>
              <w:rFonts w:ascii="Century Gothic" w:hAnsi="Century Gothic"/>
            </w:rPr>
            <w:t>east of its intersection with Route B</w:t>
          </w:r>
          <w:r w:rsidR="00F46DDF">
            <w:rPr>
              <w:rFonts w:ascii="Century Gothic" w:hAnsi="Century Gothic"/>
            </w:rPr>
            <w:t xml:space="preserve"> be vacated.  The segment </w:t>
          </w:r>
          <w:r w:rsidR="00F84CAD">
            <w:rPr>
              <w:rFonts w:ascii="Century Gothic" w:hAnsi="Century Gothic"/>
            </w:rPr>
            <w:t xml:space="preserve">of easement </w:t>
          </w:r>
          <w:r w:rsidR="00F46DDF">
            <w:rPr>
              <w:rFonts w:ascii="Century Gothic" w:hAnsi="Century Gothic"/>
            </w:rPr>
            <w:t>to be vacated was</w:t>
          </w:r>
          <w:r>
            <w:rPr>
              <w:rFonts w:ascii="Century Gothic" w:hAnsi="Century Gothic"/>
            </w:rPr>
            <w:t xml:space="preserve"> platted as part of Sutter Industrial Plat 3 and was intended to accommodate an upgraded/relocated sewer </w:t>
          </w:r>
          <w:r w:rsidR="00F46DDF">
            <w:rPr>
              <w:rFonts w:ascii="Century Gothic" w:hAnsi="Century Gothic"/>
            </w:rPr>
            <w:t xml:space="preserve">in anticipation </w:t>
          </w:r>
          <w:r>
            <w:rPr>
              <w:rFonts w:ascii="Century Gothic" w:hAnsi="Century Gothic"/>
            </w:rPr>
            <w:t xml:space="preserve">of the </w:t>
          </w:r>
          <w:r w:rsidR="00F46DDF">
            <w:rPr>
              <w:rFonts w:ascii="Century Gothic" w:hAnsi="Century Gothic"/>
            </w:rPr>
            <w:t>development of multiple in</w:t>
          </w:r>
          <w:r w:rsidR="00FE4B48">
            <w:rPr>
              <w:rFonts w:ascii="Century Gothic" w:hAnsi="Century Gothic"/>
            </w:rPr>
            <w:t>dustrial lots on the parent 103-</w:t>
          </w:r>
          <w:r w:rsidR="00F46DDF">
            <w:rPr>
              <w:rFonts w:ascii="Century Gothic" w:hAnsi="Century Gothic"/>
            </w:rPr>
            <w:t xml:space="preserve">acre tract of land.  </w:t>
          </w:r>
        </w:p>
        <w:p w:rsidR="00F46DDF" w:rsidRDefault="00F46DDF" w:rsidP="00CE4274">
          <w:pPr>
            <w:rPr>
              <w:rFonts w:ascii="Century Gothic" w:hAnsi="Century Gothic"/>
            </w:rPr>
          </w:pPr>
        </w:p>
        <w:p w:rsidR="00F46DDF" w:rsidRDefault="00F46DDF" w:rsidP="00CE4274">
          <w:pPr>
            <w:rPr>
              <w:rFonts w:ascii="Century Gothic" w:hAnsi="Century Gothic"/>
            </w:rPr>
          </w:pPr>
          <w:r>
            <w:rPr>
              <w:rFonts w:ascii="Century Gothic" w:hAnsi="Century Gothic"/>
            </w:rPr>
            <w:t xml:space="preserve">In February 2017, Sutter Industrial Plat 4 consolidated the previously platted 3 lots into a single 103 acre tract prior to the sale of the land to Aurora Organic Dairy.  Following the sale and completion of preliminary infrastructure design documents it was determined that the easement sought for vacation was not needed to support the dairy production facility.  </w:t>
          </w:r>
        </w:p>
        <w:p w:rsidR="00F46DDF" w:rsidRDefault="00F46DDF" w:rsidP="00CE4274">
          <w:pPr>
            <w:rPr>
              <w:rFonts w:ascii="Century Gothic" w:hAnsi="Century Gothic"/>
            </w:rPr>
          </w:pPr>
        </w:p>
        <w:p w:rsidR="00F46DDF" w:rsidRDefault="00F46DDF" w:rsidP="00CE4274">
          <w:pPr>
            <w:rPr>
              <w:rFonts w:ascii="Century Gothic" w:hAnsi="Century Gothic"/>
            </w:rPr>
          </w:pPr>
          <w:r>
            <w:rPr>
              <w:rFonts w:ascii="Century Gothic" w:hAnsi="Century Gothic"/>
            </w:rPr>
            <w:t xml:space="preserve">Vacation of the requested </w:t>
          </w:r>
          <w:r w:rsidR="00834DCD">
            <w:rPr>
              <w:rFonts w:ascii="Century Gothic" w:hAnsi="Century Gothic"/>
            </w:rPr>
            <w:t xml:space="preserve">20-foot wide sewer </w:t>
          </w:r>
          <w:r>
            <w:rPr>
              <w:rFonts w:ascii="Century Gothic" w:hAnsi="Century Gothic"/>
            </w:rPr>
            <w:t xml:space="preserve">easement will remove a </w:t>
          </w:r>
          <w:r w:rsidR="00834DCD">
            <w:rPr>
              <w:rFonts w:ascii="Century Gothic" w:hAnsi="Century Gothic"/>
            </w:rPr>
            <w:t xml:space="preserve">1,453- foot easement </w:t>
          </w:r>
          <w:r>
            <w:rPr>
              <w:rFonts w:ascii="Century Gothic" w:hAnsi="Century Gothic"/>
            </w:rPr>
            <w:t xml:space="preserve">spur to the </w:t>
          </w:r>
          <w:r w:rsidR="00834DCD">
            <w:rPr>
              <w:rFonts w:ascii="Century Gothic" w:hAnsi="Century Gothic"/>
            </w:rPr>
            <w:t>standard utility easement that runs parallel to Waco Road acquired</w:t>
          </w:r>
          <w:r w:rsidR="00F84CAD">
            <w:rPr>
              <w:rFonts w:ascii="Century Gothic" w:hAnsi="Century Gothic"/>
            </w:rPr>
            <w:t xml:space="preserve"> as part of </w:t>
          </w:r>
          <w:r w:rsidR="00834DCD">
            <w:rPr>
              <w:rFonts w:ascii="Century Gothic" w:hAnsi="Century Gothic"/>
            </w:rPr>
            <w:t>Sutter Industrial Plat 3.  The spur begins roughly 264 feet east of the intersection of Route B and Waco Road</w:t>
          </w:r>
          <w:r w:rsidR="00F84CAD">
            <w:rPr>
              <w:rFonts w:ascii="Century Gothic" w:hAnsi="Century Gothic"/>
            </w:rPr>
            <w:t xml:space="preserve"> and </w:t>
          </w:r>
          <w:r w:rsidR="00834DCD">
            <w:rPr>
              <w:rFonts w:ascii="Century Gothic" w:hAnsi="Century Gothic"/>
            </w:rPr>
            <w:t>leaves the Waco Road right of way veer</w:t>
          </w:r>
          <w:r w:rsidR="00F84CAD">
            <w:rPr>
              <w:rFonts w:ascii="Century Gothic" w:hAnsi="Century Gothic"/>
            </w:rPr>
            <w:t>ing</w:t>
          </w:r>
          <w:r w:rsidR="00834DCD">
            <w:rPr>
              <w:rFonts w:ascii="Century Gothic" w:hAnsi="Century Gothic"/>
            </w:rPr>
            <w:t xml:space="preserve"> northeast and then east into AOD-MO Holdings property.  The easement does not contain any current improvements and its vacation will not reduce the ability to serve the 103-</w:t>
          </w:r>
          <w:r w:rsidR="009252D7">
            <w:rPr>
              <w:rFonts w:ascii="Century Gothic" w:hAnsi="Century Gothic"/>
            </w:rPr>
            <w:t>acre tract or adjacent property</w:t>
          </w:r>
          <w:r w:rsidR="00F84CAD">
            <w:rPr>
              <w:rFonts w:ascii="Century Gothic" w:hAnsi="Century Gothic"/>
            </w:rPr>
            <w:t xml:space="preserve"> with public sewer services</w:t>
          </w:r>
          <w:r w:rsidR="009252D7">
            <w:rPr>
              <w:rFonts w:ascii="Century Gothic" w:hAnsi="Century Gothic"/>
            </w:rPr>
            <w:t xml:space="preserve">. </w:t>
          </w:r>
        </w:p>
        <w:p w:rsidR="009252D7" w:rsidRDefault="009252D7" w:rsidP="00CE4274">
          <w:pPr>
            <w:rPr>
              <w:rFonts w:ascii="Century Gothic" w:hAnsi="Century Gothic"/>
            </w:rPr>
          </w:pPr>
        </w:p>
        <w:p w:rsidR="009252D7" w:rsidRDefault="009252D7" w:rsidP="00CE4274">
          <w:pPr>
            <w:rPr>
              <w:rFonts w:ascii="Century Gothic" w:hAnsi="Century Gothic"/>
            </w:rPr>
          </w:pPr>
          <w:r>
            <w:rPr>
              <w:rFonts w:ascii="Century Gothic" w:hAnsi="Century Gothic"/>
            </w:rPr>
            <w:t xml:space="preserve">Internal and external agencies have reviewed the vacation request and support its approval.  The preliminary design for sewer service to the future dairy facility will be able to be accommodated within the retained 25-foot wide utility easement that runs parallel to Waco Road.  Future main extensions to serve the dairy facility will be installed at the expense of the applicant.  </w:t>
          </w:r>
        </w:p>
        <w:p w:rsidR="009252D7" w:rsidRDefault="009252D7" w:rsidP="00CE4274">
          <w:pPr>
            <w:rPr>
              <w:rFonts w:ascii="Century Gothic" w:hAnsi="Century Gothic"/>
            </w:rPr>
          </w:pPr>
        </w:p>
        <w:p w:rsidR="00CE4274" w:rsidRDefault="009252D7" w:rsidP="00CE4274">
          <w:pPr>
            <w:rPr>
              <w:rFonts w:ascii="Century Gothic" w:hAnsi="Century Gothic"/>
            </w:rPr>
          </w:pPr>
          <w:r>
            <w:rPr>
              <w:rFonts w:ascii="Century Gothic" w:hAnsi="Century Gothic"/>
            </w:rPr>
            <w:t xml:space="preserve">Locator maps and a copy of the vacation exhibit are attached. </w:t>
          </w:r>
        </w:p>
      </w:sdtContent>
    </w:sdt>
    <w:p w:rsidR="002773F7" w:rsidRDefault="00D44CD9" w:rsidP="00D44CD9">
      <w:pPr>
        <w:tabs>
          <w:tab w:val="left" w:pos="4425"/>
        </w:tabs>
        <w:rPr>
          <w:rFonts w:ascii="Century Gothic" w:hAnsi="Century Gothic"/>
        </w:rPr>
      </w:pPr>
      <w:r>
        <w:rPr>
          <w:rFonts w:ascii="Century Gothic" w:hAnsi="Century Gothic"/>
        </w:rPr>
        <w:tab/>
      </w:r>
    </w:p>
    <w:p w:rsidR="009252D7" w:rsidRDefault="009252D7" w:rsidP="00D44CD9">
      <w:pPr>
        <w:tabs>
          <w:tab w:val="left" w:pos="4425"/>
        </w:tabs>
        <w:rPr>
          <w:rFonts w:ascii="Century Gothic" w:hAnsi="Century Gothic"/>
        </w:rPr>
      </w:pPr>
    </w:p>
    <w:p w:rsidR="009252D7" w:rsidRDefault="009252D7" w:rsidP="00D44CD9">
      <w:pPr>
        <w:tabs>
          <w:tab w:val="left" w:pos="4425"/>
        </w:tabs>
        <w:rPr>
          <w:rFonts w:ascii="Century Gothic" w:hAnsi="Century Gothic"/>
        </w:rPr>
      </w:pPr>
    </w:p>
    <w:p w:rsidR="009252D7" w:rsidRDefault="009252D7" w:rsidP="00D44CD9">
      <w:pPr>
        <w:tabs>
          <w:tab w:val="left" w:pos="4425"/>
        </w:tabs>
        <w:rPr>
          <w:rFonts w:ascii="Century Gothic" w:hAnsi="Century Gothic"/>
        </w:rPr>
      </w:pPr>
    </w:p>
    <w:p w:rsidR="002773F7" w:rsidRDefault="002773F7">
      <w:pPr>
        <w:rPr>
          <w:rFonts w:ascii="Century Gothic" w:hAnsi="Century Gothic"/>
        </w:rPr>
      </w:pPr>
      <w:r w:rsidRPr="00791D82">
        <w:rPr>
          <w:rFonts w:ascii="Century Gothic" w:hAnsi="Century Gothic"/>
          <w:noProof/>
        </w:rPr>
        <w:lastRenderedPageBreak/>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9252D7">
            <w:rPr>
              <w:rStyle w:val="Style3"/>
            </w:rPr>
            <w:t>None</w:t>
          </w:r>
        </w:sdtContent>
      </w:sdt>
    </w:p>
    <w:p w:rsidR="009252D7" w:rsidRDefault="009252D7">
      <w:pPr>
        <w:rPr>
          <w:rFonts w:ascii="Century Gothic" w:hAnsi="Century Gothic"/>
        </w:rPr>
      </w:pPr>
    </w:p>
    <w:p w:rsidR="00C379A1" w:rsidRDefault="00DC18D1">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9252D7">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ED1DC0">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9252D7">
            <w:rPr>
              <w:rStyle w:val="Style3"/>
            </w:rPr>
            <w:t>Community Facilities &amp; Services</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9252D7">
            <w:rPr>
              <w:rStyle w:val="Style3"/>
            </w:rPr>
            <w:t>Economic Development</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9252D7">
            <w:rPr>
              <w:rStyle w:val="Style3"/>
            </w:rPr>
            <w:t>Not Applicable</w:t>
          </w:r>
        </w:sdtContent>
      </w:sdt>
    </w:p>
    <w:p w:rsidR="004F48BF" w:rsidRDefault="004F48BF"/>
    <w:p w:rsidR="000E3DAB" w:rsidRDefault="00ED1DC0">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9252D7">
            <w:rPr>
              <w:rStyle w:val="Style3"/>
            </w:rPr>
            <w:t>Economy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9252D7">
            <w:rPr>
              <w:rStyle w:val="Style3"/>
            </w:rPr>
            <w:t>Infrastructure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9252D7">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9252D7">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9252D7">
            <w:rPr>
              <w:rStyle w:val="Style3"/>
            </w:rPr>
            <w:t>Economic Development</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9252D7">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tc>
          <w:tcPr>
            <w:tcW w:w="2790" w:type="dxa"/>
            <w:shd w:val="clear" w:color="auto" w:fill="auto"/>
          </w:tcPr>
          <w:sdt>
            <w:sdtPr>
              <w:rPr>
                <w:rFonts w:ascii="Century Gothic" w:hAnsi="Century Gothic"/>
              </w:rPr>
              <w:id w:val="-543912427"/>
              <w:placeholder>
                <w:docPart w:val="AF28ABD0C79441BC88DC08AA0C134A14"/>
              </w:placeholder>
            </w:sdtPr>
            <w:sdtEndPr/>
            <w:sdtContent>
              <w:p w:rsidR="004C26F6" w:rsidRDefault="009252D7" w:rsidP="009252D7">
                <w:pPr>
                  <w:rPr>
                    <w:rFonts w:ascii="Century Gothic" w:hAnsi="Century Gothic"/>
                  </w:rPr>
                </w:pPr>
                <w:r>
                  <w:rPr>
                    <w:rFonts w:ascii="Century Gothic" w:hAnsi="Century Gothic"/>
                  </w:rPr>
                  <w:t>3/21/17</w:t>
                </w:r>
              </w:p>
            </w:sdtContent>
          </w:sdt>
          <w:p w:rsidR="00F84CAD" w:rsidRDefault="00F84CAD" w:rsidP="009252D7">
            <w:pPr>
              <w:rPr>
                <w:rFonts w:ascii="Century Gothic" w:hAnsi="Century Gothic"/>
              </w:rPr>
            </w:pPr>
          </w:p>
          <w:p w:rsidR="009252D7" w:rsidRDefault="009252D7" w:rsidP="009252D7">
            <w:pPr>
              <w:rPr>
                <w:rFonts w:ascii="Century Gothic" w:hAnsi="Century Gothic"/>
              </w:rPr>
            </w:pPr>
            <w:r>
              <w:rPr>
                <w:rFonts w:ascii="Century Gothic" w:hAnsi="Century Gothic"/>
              </w:rPr>
              <w:t>3/20/17</w:t>
            </w:r>
          </w:p>
          <w:p w:rsidR="00F84CAD" w:rsidRDefault="00F84CAD" w:rsidP="009252D7">
            <w:pPr>
              <w:rPr>
                <w:rFonts w:ascii="Century Gothic" w:hAnsi="Century Gothic"/>
              </w:rPr>
            </w:pPr>
          </w:p>
          <w:p w:rsidR="00F84CAD" w:rsidRDefault="00F84CAD" w:rsidP="009252D7">
            <w:pPr>
              <w:rPr>
                <w:rFonts w:ascii="Century Gothic" w:hAnsi="Century Gothic"/>
              </w:rPr>
            </w:pPr>
          </w:p>
          <w:p w:rsidR="00F84CAD" w:rsidRDefault="00F84CAD" w:rsidP="009252D7">
            <w:pPr>
              <w:rPr>
                <w:rFonts w:ascii="Century Gothic" w:hAnsi="Century Gothic"/>
              </w:rPr>
            </w:pPr>
            <w:r>
              <w:rPr>
                <w:rFonts w:ascii="Century Gothic" w:hAnsi="Century Gothic"/>
              </w:rPr>
              <w:t>2/6/17</w:t>
            </w:r>
          </w:p>
        </w:tc>
        <w:sdt>
          <w:sdtPr>
            <w:rPr>
              <w:rFonts w:ascii="Century Gothic" w:hAnsi="Century Gothic"/>
            </w:rPr>
            <w:id w:val="1450981277"/>
            <w:placeholder>
              <w:docPart w:val="F1D4D5A078944E1887EC6769811D8125"/>
            </w:placeholder>
          </w:sdtPr>
          <w:sdtEndPr/>
          <w:sdtContent>
            <w:tc>
              <w:tcPr>
                <w:tcW w:w="7830" w:type="dxa"/>
                <w:shd w:val="clear" w:color="auto" w:fill="auto"/>
              </w:tcPr>
              <w:p w:rsidR="009252D7" w:rsidRDefault="009252D7" w:rsidP="009252D7">
                <w:pPr>
                  <w:rPr>
                    <w:rFonts w:ascii="Century Gothic" w:hAnsi="Century Gothic"/>
                  </w:rPr>
                </w:pPr>
                <w:r>
                  <w:rPr>
                    <w:rFonts w:ascii="Century Gothic" w:hAnsi="Century Gothic"/>
                  </w:rPr>
                  <w:t>Approved recording of Sutter Industrial Plat 4 (Administrative Plat)</w:t>
                </w:r>
              </w:p>
              <w:p w:rsidR="00F84CAD" w:rsidRDefault="00F84CAD" w:rsidP="009252D7">
                <w:pPr>
                  <w:rPr>
                    <w:rFonts w:ascii="Century Gothic" w:hAnsi="Century Gothic"/>
                  </w:rPr>
                </w:pPr>
              </w:p>
              <w:p w:rsidR="00F84CAD" w:rsidRDefault="009252D7" w:rsidP="009252D7">
                <w:pPr>
                  <w:rPr>
                    <w:rFonts w:ascii="Century Gothic" w:hAnsi="Century Gothic"/>
                  </w:rPr>
                </w:pPr>
                <w:r>
                  <w:rPr>
                    <w:rFonts w:ascii="Century Gothic" w:hAnsi="Century Gothic"/>
                  </w:rPr>
                  <w:t>Approved vacation of Sutter Industrial Boulevard and associated utility easements (Ord. 023122)</w:t>
                </w:r>
              </w:p>
              <w:p w:rsidR="00F84CAD" w:rsidRDefault="00F84CAD" w:rsidP="009252D7">
                <w:pPr>
                  <w:rPr>
                    <w:rFonts w:ascii="Century Gothic" w:hAnsi="Century Gothic"/>
                  </w:rPr>
                </w:pPr>
              </w:p>
              <w:p w:rsidR="004C26F6" w:rsidRDefault="00F84CAD" w:rsidP="009252D7">
                <w:pPr>
                  <w:rPr>
                    <w:rFonts w:ascii="Century Gothic" w:hAnsi="Century Gothic"/>
                  </w:rPr>
                </w:pPr>
                <w:r>
                  <w:rPr>
                    <w:rFonts w:ascii="Century Gothic" w:hAnsi="Century Gothic"/>
                  </w:rPr>
                  <w:t>Approved sale contract (Ord. 023065)</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F84CAD" w:rsidP="00C379A1">
          <w:pPr>
            <w:tabs>
              <w:tab w:val="left" w:pos="4530"/>
            </w:tabs>
            <w:rPr>
              <w:rFonts w:ascii="Century Gothic" w:hAnsi="Century Gothic"/>
            </w:rPr>
          </w:pPr>
          <w:r>
            <w:rPr>
              <w:rFonts w:ascii="Century Gothic" w:hAnsi="Century Gothic"/>
            </w:rPr>
            <w:t>Approve the requested easement vacation.</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DC0" w:rsidRDefault="00ED1DC0" w:rsidP="004A4C2D">
      <w:r>
        <w:separator/>
      </w:r>
    </w:p>
  </w:endnote>
  <w:endnote w:type="continuationSeparator" w:id="0">
    <w:p w:rsidR="00ED1DC0" w:rsidRDefault="00ED1DC0"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DC0" w:rsidRDefault="00ED1DC0" w:rsidP="004A4C2D">
      <w:r>
        <w:separator/>
      </w:r>
    </w:p>
  </w:footnote>
  <w:footnote w:type="continuationSeparator" w:id="0">
    <w:p w:rsidR="00ED1DC0" w:rsidRDefault="00ED1DC0"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7AB"/>
    <w:rsid w:val="000E3DAB"/>
    <w:rsid w:val="0011191B"/>
    <w:rsid w:val="00160464"/>
    <w:rsid w:val="001E142A"/>
    <w:rsid w:val="001F1288"/>
    <w:rsid w:val="002773F7"/>
    <w:rsid w:val="002C289E"/>
    <w:rsid w:val="002D380E"/>
    <w:rsid w:val="002F3061"/>
    <w:rsid w:val="00340994"/>
    <w:rsid w:val="00344C59"/>
    <w:rsid w:val="00381A9D"/>
    <w:rsid w:val="003C57DC"/>
    <w:rsid w:val="0041404F"/>
    <w:rsid w:val="00480AED"/>
    <w:rsid w:val="0048496D"/>
    <w:rsid w:val="004A4C2D"/>
    <w:rsid w:val="004A51CB"/>
    <w:rsid w:val="004C26F6"/>
    <w:rsid w:val="004C2DE4"/>
    <w:rsid w:val="004F48BF"/>
    <w:rsid w:val="00572FBB"/>
    <w:rsid w:val="005831E4"/>
    <w:rsid w:val="00591DC5"/>
    <w:rsid w:val="005B3871"/>
    <w:rsid w:val="005F6088"/>
    <w:rsid w:val="00625FCB"/>
    <w:rsid w:val="0063603F"/>
    <w:rsid w:val="00646D99"/>
    <w:rsid w:val="006D6E9E"/>
    <w:rsid w:val="006F185A"/>
    <w:rsid w:val="00791D82"/>
    <w:rsid w:val="008078EB"/>
    <w:rsid w:val="00834DCD"/>
    <w:rsid w:val="008372DA"/>
    <w:rsid w:val="00852DF7"/>
    <w:rsid w:val="00883565"/>
    <w:rsid w:val="008A33E6"/>
    <w:rsid w:val="008C6849"/>
    <w:rsid w:val="008F0551"/>
    <w:rsid w:val="009252D7"/>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54FB9"/>
    <w:rsid w:val="00B62049"/>
    <w:rsid w:val="00B972D7"/>
    <w:rsid w:val="00BA374B"/>
    <w:rsid w:val="00BD7739"/>
    <w:rsid w:val="00BE10D5"/>
    <w:rsid w:val="00BE5FE4"/>
    <w:rsid w:val="00C2401A"/>
    <w:rsid w:val="00C26D7E"/>
    <w:rsid w:val="00C34BE7"/>
    <w:rsid w:val="00C379A1"/>
    <w:rsid w:val="00C93741"/>
    <w:rsid w:val="00CE4274"/>
    <w:rsid w:val="00D046B2"/>
    <w:rsid w:val="00D102C6"/>
    <w:rsid w:val="00D22DBE"/>
    <w:rsid w:val="00D44CD9"/>
    <w:rsid w:val="00D85A25"/>
    <w:rsid w:val="00DC18D1"/>
    <w:rsid w:val="00DE2810"/>
    <w:rsid w:val="00DF4837"/>
    <w:rsid w:val="00E21F4E"/>
    <w:rsid w:val="00E518F5"/>
    <w:rsid w:val="00E52526"/>
    <w:rsid w:val="00E74D19"/>
    <w:rsid w:val="00EB1A02"/>
    <w:rsid w:val="00EC2404"/>
    <w:rsid w:val="00ED1548"/>
    <w:rsid w:val="00ED1DC0"/>
    <w:rsid w:val="00EE317A"/>
    <w:rsid w:val="00F214E8"/>
    <w:rsid w:val="00F30B5A"/>
    <w:rsid w:val="00F46DDF"/>
    <w:rsid w:val="00F61EE4"/>
    <w:rsid w:val="00F84CAD"/>
    <w:rsid w:val="00F90AB9"/>
    <w:rsid w:val="00FA2504"/>
    <w:rsid w:val="00FA2BBC"/>
    <w:rsid w:val="00FE4B48"/>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18E24B-E9FF-43BF-8166-4EFA517C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71B52" w:rsidP="00171B5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71B52" w:rsidP="00171B52">
          <w:pPr>
            <w:pStyle w:val="9CB5AE52CB7F448A87D494DE5ED850F250"/>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71B52" w:rsidP="00171B52">
          <w:pPr>
            <w:pStyle w:val="080144DEE566462497F86EF9C1E3E49137"/>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71B52" w:rsidP="00171B52">
          <w:pPr>
            <w:pStyle w:val="27B5DA176AA040D1B0DAB750BB22260F37"/>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71B52" w:rsidP="00171B52">
          <w:pPr>
            <w:pStyle w:val="3D61DDC5E9144BA393D7C0A55E52697D37"/>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71B52" w:rsidP="00171B52">
          <w:pPr>
            <w:pStyle w:val="EB84462E53CE493D89DA88CD2AF780F737"/>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71B52" w:rsidP="00171B52">
          <w:pPr>
            <w:pStyle w:val="6A332A8A412040719171C9362204843137"/>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71B52" w:rsidP="00171B52">
          <w:pPr>
            <w:pStyle w:val="7A27971EEC15446AB165DD00CA68CFE037"/>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71B52" w:rsidP="00171B52">
          <w:pPr>
            <w:pStyle w:val="EBD500C93F3A455BAC6AF8E11E83A37A24"/>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71B52" w:rsidP="00171B52">
          <w:pPr>
            <w:pStyle w:val="CC84BBFA8A334B4BB4CF9A60EE97394B21"/>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71B52" w:rsidP="00171B52">
          <w:pPr>
            <w:pStyle w:val="8A5109573AFD4F8FAC6184482260D86921"/>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71B52" w:rsidP="00171B52">
          <w:pPr>
            <w:pStyle w:val="2B8EC473C8864512A109230FB884D05820"/>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71B52" w:rsidP="00171B52">
          <w:pPr>
            <w:pStyle w:val="BFEEBCF83B7E4378BC3F23566F27448119"/>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71B52" w:rsidP="00171B52">
          <w:pPr>
            <w:pStyle w:val="D2C6008C4725428581840BA3F24E6DB14"/>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71B52" w:rsidP="00171B52">
          <w:pPr>
            <w:pStyle w:val="AACEFEF4204444CC8A17346A92831BCD4"/>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71B52" w:rsidP="00171B52">
          <w:pPr>
            <w:pStyle w:val="AF28ABD0C79441BC88DC08AA0C134A144"/>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71B52" w:rsidP="00171B52">
          <w:pPr>
            <w:pStyle w:val="F1D4D5A078944E1887EC6769811D81254"/>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71B52" w:rsidP="00171B52">
          <w:pPr>
            <w:pStyle w:val="CB4940772BDC42B6AF75C605D844F3A84"/>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71B52" w:rsidP="00171B52">
          <w:pPr>
            <w:pStyle w:val="4AE7662C54754E80A5F963D232AD89853"/>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71B52"/>
    <w:rsid w:val="001E1DFB"/>
    <w:rsid w:val="0024399D"/>
    <w:rsid w:val="002A16F5"/>
    <w:rsid w:val="002E6193"/>
    <w:rsid w:val="00331D1F"/>
    <w:rsid w:val="003C79DA"/>
    <w:rsid w:val="00412C43"/>
    <w:rsid w:val="0043257E"/>
    <w:rsid w:val="004C0099"/>
    <w:rsid w:val="004F35AE"/>
    <w:rsid w:val="005F57FE"/>
    <w:rsid w:val="006259E9"/>
    <w:rsid w:val="006702CB"/>
    <w:rsid w:val="006C0A97"/>
    <w:rsid w:val="006E696C"/>
    <w:rsid w:val="00773276"/>
    <w:rsid w:val="0081018E"/>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71B52"/>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71B5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0799D-47D6-4B4B-8791-F5DC0922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4</cp:revision>
  <cp:lastPrinted>2013-11-01T14:38:00Z</cp:lastPrinted>
  <dcterms:created xsi:type="dcterms:W3CDTF">2017-05-24T14:05:00Z</dcterms:created>
  <dcterms:modified xsi:type="dcterms:W3CDTF">2017-05-24T20:49:00Z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